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before="2200" w:beforeAutospacing="0" w:afterAutospacing="0"/>
      </w:pPr>
    </w:p>
    <w:p>
      <w:pPr>
        <w:spacing w:after="120" w:beforeAutospacing="0" w:afterAutospacing="0"/>
        <w:jc w:val="center"/>
      </w:pPr>
      <w:r>
        <w:rPr>
          <w:rFonts w:ascii="Helvetica" w:hAnsi="Helvetica" w:cs="Helvetica" w:eastAsia="Helvetica"/>
          <w:b w:val="1"/>
          <w:bCs w:val="1"/>
          <w:color w:val="1F3550"/>
          <w:sz w:val="60"/>
          <w:szCs w:val="60"/>
        </w:rPr>
        <w:t>CASHX ECOSYSTEM</w:t>
      </w:r>
    </w:p>
    <w:p>
      <w:pPr>
        <w:spacing w:after="60" w:beforeAutospacing="0" w:afterAutospacing="0"/>
        <w:jc w:val="center"/>
      </w:pPr>
      <w:r>
        <w:rPr>
          <w:rFonts w:ascii="Helvetica" w:hAnsi="Helvetica" w:cs="Helvetica" w:eastAsia="Helvetica"/>
          <w:b w:val="1"/>
          <w:bCs w:val="1"/>
          <w:color w:val="2E6E4E"/>
          <w:sz w:val="40"/>
          <w:szCs w:val="40"/>
        </w:rPr>
        <w:t>WHITEPAPER</w:t>
      </w:r>
    </w:p>
    <w:p>
      <w:pPr>
        <w:pBdr>
          <w:top w:val="single" w:sz="8" w:space="8" w:shadow="0" w:frame="0" w:color="1F3550"/>
          <w:left w:val="none" w:sz="0" w:space="0" w:shadow="0" w:frame="0" w:color="auto"/>
          <w:bottom w:val="none" w:sz="0" w:space="0" w:shadow="0" w:frame="0" w:color="auto"/>
          <w:right w:val="none" w:sz="0" w:space="0" w:shadow="0" w:frame="0" w:color="auto"/>
          <w:between w:val="none" w:sz="0" w:space="0" w:shadow="0" w:frame="0" w:color="auto"/>
        </w:pBdr>
        <w:spacing w:before="240" w:after="120" w:beforeAutospacing="0" w:afterAutospacing="0"/>
        <w:jc w:val="center"/>
      </w:pPr>
      <w:r>
        <w:rPr>
          <w:rFonts w:ascii="Georgia" w:hAnsi="Georgia" w:cs="Georgia" w:eastAsia="Georgia"/>
          <w:i w:val="1"/>
          <w:iCs w:val="1"/>
          <w:color w:val="595959"/>
          <w:sz w:val="26"/>
          <w:szCs w:val="26"/>
        </w:rPr>
        <w:t>A Self-Reinforcing Token Economy on PulseChain</w:t>
      </w:r>
    </w:p>
    <w:p>
      <w:pPr>
        <w:spacing w:before="2600" w:beforeAutospacing="0" w:afterAutospacing="0"/>
        <w:jc w:val="center"/>
      </w:pPr>
      <w:r>
        <w:rPr>
          <w:rFonts w:ascii="Helvetica" w:hAnsi="Helvetica" w:cs="Helvetica" w:eastAsia="Helvetica"/>
          <w:color w:val="595959"/>
          <w:sz w:val="22"/>
          <w:szCs w:val="22"/>
        </w:rPr>
        <w:t>Version 1.0</w:t>
      </w:r>
    </w:p>
    <w:p>
      <w:pPr>
        <w:jc w:val="center"/>
      </w:pPr>
      <w:r>
        <w:rPr>
          <w:rFonts w:ascii="Helvetica" w:hAnsi="Helvetica" w:cs="Helvetica" w:eastAsia="Helvetica"/>
          <w:color w:val="595959"/>
          <w:sz w:val="22"/>
          <w:szCs w:val="22"/>
        </w:rPr>
        <w:t>July 2026</w:t>
      </w:r>
    </w:p>
    <w:p>
      <w:r>
        <w:br w:type="page"/>
      </w:r>
    </w:p>
    <w:p>
      <w:pPr>
        <w:pStyle w:val="P2"/>
        <w:spacing w:before="360" w:after="200" w:beforeAutospacing="0" w:afterAutospacing="0"/>
      </w:pPr>
      <w:r>
        <w:rPr>
          <w:rFonts w:ascii="Helvetica" w:hAnsi="Helvetica" w:cs="Helvetica" w:eastAsia="Helvetica"/>
          <w:b w:val="1"/>
          <w:bCs w:val="1"/>
          <w:color w:val="1F3550"/>
          <w:sz w:val="32"/>
          <w:szCs w:val="32"/>
        </w:rPr>
        <w:t>1. Introduction and Executive Summary</w:t>
      </w:r>
    </w:p>
    <w:p>
      <w:pPr>
        <w:spacing w:lineRule="auto" w:line="300" w:after="160" w:beforeAutospacing="0" w:afterAutospacing="0"/>
      </w:pPr>
      <w:r>
        <w:rPr>
          <w:rFonts w:ascii="Georgia" w:hAnsi="Georgia" w:cs="Georgia" w:eastAsia="Georgia"/>
          <w:color w:val="222222"/>
          <w:sz w:val="22"/>
          <w:szCs w:val="22"/>
        </w:rPr>
        <w:t>The CashX ecosystem is a suite of four interconnected tokens, CashX, DistroX, DivX, and GSX, supported by an NFT collection and a network of treasuries, all built on PulseChain.</w:t>
      </w:r>
    </w:p>
    <w:p>
      <w:pPr>
        <w:spacing w:lineRule="auto" w:line="300" w:after="160" w:beforeAutospacing="0" w:afterAutospacing="0"/>
      </w:pPr>
      <w:r>
        <w:rPr>
          <w:rFonts w:ascii="Georgia" w:hAnsi="Georgia" w:cs="Georgia" w:eastAsia="Georgia"/>
          <w:color w:val="222222"/>
          <w:sz w:val="22"/>
          <w:szCs w:val="22"/>
        </w:rPr>
        <w:t>Rather than launching isolated tokens, the ecosystem is designed as a closed economic loop. Every purchase, transaction, and treasury action generates value that flows back into the other components through buy and burn pressure, reflections, and revenue sharing.</w:t>
      </w:r>
    </w:p>
    <w:p>
      <w:pPr>
        <w:spacing w:lineRule="auto" w:line="300" w:after="160" w:beforeAutospacing="0" w:afterAutospacing="0"/>
      </w:pPr>
      <w:r>
        <w:rPr>
          <w:rFonts w:ascii="Georgia" w:hAnsi="Georgia" w:cs="Georgia" w:eastAsia="Georgia"/>
          <w:color w:val="222222"/>
          <w:sz w:val="22"/>
          <w:szCs w:val="22"/>
        </w:rPr>
        <w:t>This document describes the final project in the CashX ecosystem: the GSX token and NFT package. With this launch, the ecosystem is complete. No further tokens or products will be added, and all future effort is directed at growing the components that already exist.</w:t>
      </w:r>
    </w:p>
    <w:p>
      <w:pPr>
        <w:spacing w:lineRule="auto" w:line="300" w:after="160" w:beforeAutospacing="0" w:afterAutospacing="0"/>
      </w:pPr>
      <w:r>
        <w:rPr>
          <w:rFonts w:ascii="Georgia" w:hAnsi="Georgia" w:cs="Georgia" w:eastAsia="Georgia"/>
          <w:b w:val="0"/>
          <w:bCs w:val="0"/>
          <w:color w:val="222222"/>
          <w:sz w:val="22"/>
          <w:szCs w:val="22"/>
        </w:rPr>
        <w:t>The ecosystem is already capitalized. All five treasuries across the entire ecosystem currently hold a combined total of approximately $110,000 USD, providing a real revenue base from day one.</w:t>
      </w:r>
    </w:p>
    <w:p>
      <w:pPr>
        <w:spacing w:lineRule="auto" w:line="300" w:after="160" w:beforeAutospacing="0" w:afterAutospacing="0"/>
      </w:pPr>
      <w:r>
        <w:rPr>
          <w:rFonts w:ascii="Georgia" w:hAnsi="Georgia" w:cs="Georgia" w:eastAsia="Georgia"/>
          <w:color w:val="222222"/>
          <w:sz w:val="22"/>
          <w:szCs w:val="22"/>
        </w:rPr>
        <w:t>Key features at a glance:</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Four tokens, one economy.</w:t>
      </w:r>
      <w:r>
        <w:rPr>
          <w:rFonts w:ascii="Georgia" w:hAnsi="Georgia" w:cs="Georgia" w:eastAsia="Georgia"/>
          <w:color w:val="222222"/>
          <w:sz w:val="22"/>
          <w:szCs w:val="22"/>
        </w:rPr>
        <w:t xml:space="preserve"> Every GSX transaction supports all four tokens simultaneously.</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Capitalized treasuries.</w:t>
      </w:r>
      <w:r>
        <w:rPr>
          <w:rFonts w:ascii="Georgia" w:hAnsi="Georgia" w:cs="Georgia" w:eastAsia="Georgia"/>
          <w:color w:val="222222"/>
          <w:sz w:val="22"/>
          <w:szCs w:val="22"/>
        </w:rPr>
        <w:t xml:space="preserve"> Five treasuries ecosystem-wide, holding approximately $110,000 USD combined, each governed by fixed and transparent allocation rules.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Real revenue sharing.</w:t>
      </w:r>
      <w:r>
        <w:rPr>
          <w:rFonts w:ascii="Georgia" w:hAnsi="Georgia" w:cs="Georgia" w:eastAsia="Georgia"/>
          <w:color w:val="222222"/>
          <w:sz w:val="22"/>
          <w:szCs w:val="22"/>
        </w:rPr>
        <w:t xml:space="preserve"> NFT stakers earn uPLS and GSX single stakers earn PLSX.</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Structural deflation.</w:t>
      </w:r>
      <w:r>
        <w:rPr>
          <w:rFonts w:ascii="Georgia" w:hAnsi="Georgia" w:cs="Georgia" w:eastAsia="Georgia"/>
          <w:color w:val="222222"/>
          <w:sz w:val="22"/>
          <w:szCs w:val="22"/>
        </w:rPr>
        <w:t xml:space="preserve"> Buy and burn mechanics are funded at mint, on every transaction, and from ongoing treasury operations.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A long-term milestone.</w:t>
      </w:r>
      <w:r>
        <w:rPr>
          <w:rFonts w:ascii="Georgia" w:hAnsi="Georgia" w:cs="Georgia" w:eastAsia="Georgia"/>
          <w:color w:val="222222"/>
          <w:sz w:val="22"/>
          <w:szCs w:val="22"/>
        </w:rPr>
        <w:t xml:space="preserve"> When PLS reaches 10x, revenue share across all four coins and the NFTs converts to DAI.</w:t>
      </w:r>
    </w:p>
    <w:p>
      <w:pPr>
        <w:pStyle w:val="P2"/>
        <w:spacing w:before="360" w:after="200" w:beforeAutospacing="0" w:afterAutospacing="0"/>
      </w:pPr>
      <w:r>
        <w:rPr>
          <w:rFonts w:ascii="Helvetica" w:hAnsi="Helvetica" w:cs="Helvetica" w:eastAsia="Helvetica"/>
          <w:b w:val="1"/>
          <w:bCs w:val="1"/>
          <w:color w:val="1F3550"/>
          <w:sz w:val="32"/>
          <w:szCs w:val="32"/>
        </w:rPr>
        <w:t>2. The CashX Vision and Mission</w:t>
      </w:r>
    </w:p>
    <w:p>
      <w:pPr>
        <w:spacing w:lineRule="auto" w:line="300" w:after="160" w:beforeAutospacing="0" w:afterAutospacing="0"/>
      </w:pPr>
      <w:r>
        <w:rPr>
          <w:rFonts w:ascii="Georgia" w:hAnsi="Georgia" w:cs="Georgia" w:eastAsia="Georgia"/>
          <w:b w:val="1"/>
          <w:bCs w:val="1"/>
          <w:color w:val="222222"/>
          <w:sz w:val="22"/>
          <w:szCs w:val="22"/>
        </w:rPr>
        <w:t xml:space="preserve">Vision. </w:t>
      </w:r>
      <w:r>
        <w:rPr>
          <w:rFonts w:ascii="Georgia" w:hAnsi="Georgia" w:cs="Georgia" w:eastAsia="Georgia"/>
          <w:color w:val="222222"/>
          <w:sz w:val="22"/>
          <w:szCs w:val="22"/>
        </w:rPr>
        <w:t>A compact, sustainable token ecosystem where value circulates internally rather than leaking out, and where long-term holders are the primary beneficiaries of growth.</w:t>
      </w:r>
    </w:p>
    <w:p>
      <w:pPr>
        <w:spacing w:lineRule="auto" w:line="300" w:after="160" w:beforeAutospacing="0" w:afterAutospacing="0"/>
      </w:pPr>
      <w:r>
        <w:rPr>
          <w:rFonts w:ascii="Georgia" w:hAnsi="Georgia" w:cs="Georgia" w:eastAsia="Georgia"/>
          <w:b w:val="1"/>
          <w:bCs w:val="1"/>
          <w:color w:val="222222"/>
          <w:sz w:val="22"/>
          <w:szCs w:val="22"/>
        </w:rPr>
        <w:t>Mission.</w:t>
      </w:r>
    </w:p>
    <w:p>
      <w:pPr>
        <w:pStyle w:val="P9"/>
        <w:numPr>
          <w:ilvl w:val="0"/>
          <w:numId w:val="2"/>
        </w:numPr>
        <w:spacing w:lineRule="auto" w:line="290" w:after="100" w:beforeAutospacing="0" w:afterAutospacing="0"/>
      </w:pPr>
      <w:r>
        <w:rPr>
          <w:rFonts w:ascii="Georgia" w:hAnsi="Georgia" w:cs="Georgia" w:eastAsia="Georgia"/>
          <w:color w:val="222222"/>
          <w:sz w:val="22"/>
          <w:szCs w:val="22"/>
        </w:rPr>
        <w:t>Build revenue systems funded by real treasury assets, not emissions alone.</w:t>
      </w:r>
    </w:p>
    <w:p>
      <w:pPr>
        <w:pStyle w:val="P9"/>
        <w:numPr>
          <w:ilvl w:val="0"/>
          <w:numId w:val="2"/>
        </w:numPr>
        <w:spacing w:lineRule="auto" w:line="290" w:after="100" w:beforeAutospacing="0" w:afterAutospacing="0"/>
      </w:pPr>
      <w:r>
        <w:rPr>
          <w:rFonts w:ascii="Georgia" w:hAnsi="Georgia" w:cs="Georgia" w:eastAsia="Georgia"/>
          <w:color w:val="222222"/>
          <w:sz w:val="22"/>
          <w:szCs w:val="22"/>
        </w:rPr>
        <w:t>Apply constant, mechanical deflationary pressure to all four tokens.</w:t>
      </w:r>
    </w:p>
    <w:p>
      <w:pPr>
        <w:pStyle w:val="P9"/>
        <w:numPr>
          <w:ilvl w:val="0"/>
          <w:numId w:val="2"/>
        </w:numPr>
        <w:spacing w:lineRule="auto" w:line="290" w:after="100" w:beforeAutospacing="0" w:afterAutospacing="0"/>
      </w:pPr>
      <w:r>
        <w:rPr>
          <w:rFonts w:ascii="Georgia" w:hAnsi="Georgia" w:cs="Georgia" w:eastAsia="Georgia"/>
          <w:color w:val="222222"/>
          <w:sz w:val="22"/>
          <w:szCs w:val="22"/>
        </w:rPr>
        <w:t>Keep every allocation rule fixed, published, and verifiable.</w:t>
      </w:r>
    </w:p>
    <w:p>
      <w:pPr>
        <w:pStyle w:val="P9"/>
        <w:numPr>
          <w:ilvl w:val="0"/>
          <w:numId w:val="2"/>
        </w:numPr>
        <w:spacing w:lineRule="auto" w:line="290" w:after="100" w:beforeAutospacing="0" w:afterAutospacing="0"/>
      </w:pPr>
      <w:r>
        <w:rPr>
          <w:rFonts w:ascii="Georgia" w:hAnsi="Georgia" w:cs="Georgia" w:eastAsia="Georgia"/>
          <w:color w:val="222222"/>
          <w:sz w:val="22"/>
          <w:szCs w:val="22"/>
        </w:rPr>
        <w:t>Finish building, then focus entirely on compounding what exists.</w:t>
      </w:r>
    </w:p>
    <w:p>
      <w:pPr>
        <w:spacing w:lineRule="auto" w:line="300" w:after="160" w:beforeAutospacing="0" w:afterAutospacing="0"/>
      </w:pPr>
      <w:r>
        <w:rPr>
          <w:rFonts w:ascii="Georgia" w:hAnsi="Georgia" w:cs="Georgia" w:eastAsia="Georgia"/>
          <w:color w:val="222222"/>
          <w:sz w:val="22"/>
          <w:szCs w:val="22"/>
        </w:rPr>
        <w:t>This is deliberately the last project in the ecosystem. Completion is a feature: instead of diluting attention and liquidity across new launches, the ecosystem shifts to the exponential growth of its existing components.</w:t>
      </w:r>
    </w:p>
    <w:p>
      <w:pPr>
        <w:pStyle w:val="P2"/>
        <w:spacing w:before="360" w:after="200" w:beforeAutospacing="0" w:afterAutospacing="0"/>
      </w:pPr>
      <w:r>
        <w:rPr>
          <w:rFonts w:ascii="Helvetica" w:hAnsi="Helvetica" w:cs="Helvetica" w:eastAsia="Helvetica"/>
          <w:b w:val="1"/>
          <w:bCs w:val="1"/>
          <w:color w:val="1F3550"/>
          <w:sz w:val="32"/>
          <w:szCs w:val="32"/>
        </w:rPr>
        <w:t>3. Ecosystem Overview</w:t>
      </w:r>
    </w:p>
    <w:p>
      <w:pPr>
        <w:spacing w:lineRule="auto" w:line="300" w:after="160" w:beforeAutospacing="0" w:afterAutospacing="0"/>
      </w:pPr>
      <w:r>
        <w:rPr>
          <w:rFonts w:ascii="Georgia" w:hAnsi="Georgia" w:cs="Georgia" w:eastAsia="Georgia"/>
          <w:color w:val="222222"/>
          <w:sz w:val="22"/>
          <w:szCs w:val="22"/>
        </w:rPr>
        <w:t>The ecosystem has five components that feed one another:</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CashX.</w:t>
      </w:r>
      <w:r>
        <w:rPr>
          <w:rFonts w:ascii="Georgia" w:hAnsi="Georgia" w:cs="Georgia" w:eastAsia="Georgia"/>
          <w:color w:val="222222"/>
          <w:sz w:val="22"/>
          <w:szCs w:val="22"/>
        </w:rPr>
        <w:t xml:space="preserve"> The flagship token, supported by buy and burns and reflections funded by NFT mints and GSX activity.</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DistroX.</w:t>
      </w:r>
      <w:r>
        <w:rPr>
          <w:rFonts w:ascii="Georgia" w:hAnsi="Georgia" w:cs="Georgia" w:eastAsia="Georgia"/>
          <w:color w:val="222222"/>
          <w:sz w:val="22"/>
          <w:szCs w:val="22"/>
        </w:rPr>
        <w:t xml:space="preserve"> Supported by the same buy and burn and reflection flows, plus dedicated farms.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DivX.</w:t>
      </w:r>
      <w:r>
        <w:rPr>
          <w:rFonts w:ascii="Georgia" w:hAnsi="Georgia" w:cs="Georgia" w:eastAsia="Georgia"/>
          <w:color w:val="222222"/>
          <w:sz w:val="22"/>
          <w:szCs w:val="22"/>
        </w:rPr>
        <w:t xml:space="preserve"> Supported by the same buy and burn and reflection flows, plus dedicated farms.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GSX.</w:t>
      </w:r>
      <w:r>
        <w:rPr>
          <w:rFonts w:ascii="Georgia" w:hAnsi="Georgia" w:cs="Georgia" w:eastAsia="Georgia"/>
          <w:color w:val="222222"/>
          <w:sz w:val="22"/>
          <w:szCs w:val="22"/>
        </w:rPr>
        <w:t xml:space="preserve"> The engine token. Its 8% transaction tax funds the treasuries, burns, and reflections that power the rest of the ecosystem.</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NFTs.</w:t>
      </w:r>
      <w:r>
        <w:rPr>
          <w:rFonts w:ascii="Georgia" w:hAnsi="Georgia" w:cs="Georgia" w:eastAsia="Georgia"/>
          <w:color w:val="222222"/>
          <w:sz w:val="22"/>
          <w:szCs w:val="22"/>
        </w:rPr>
        <w:t xml:space="preserve"> The capital formation layer. Minting funds the NFT and GSX treasuries and triggers buy and burns of all three legacy tokens.</w:t>
      </w:r>
    </w:p>
    <w:p>
      <w:pPr>
        <w:pStyle w:val="P3"/>
        <w:spacing w:before="280" w:after="140" w:beforeAutospacing="0" w:afterAutospacing="0"/>
      </w:pPr>
      <w:r>
        <w:rPr>
          <w:rFonts w:ascii="Helvetica" w:hAnsi="Helvetica" w:cs="Helvetica" w:eastAsia="Helvetica"/>
          <w:b w:val="1"/>
          <w:bCs w:val="1"/>
          <w:color w:val="2E6E4E"/>
          <w:sz w:val="26"/>
          <w:szCs w:val="26"/>
        </w:rPr>
        <w:t>How the Pieces Connect</w:t>
      </w:r>
    </w:p>
    <w:p>
      <w:pPr>
        <w:pStyle w:val="P9"/>
        <w:numPr>
          <w:ilvl w:val="0"/>
          <w:numId w:val="3"/>
        </w:numPr>
        <w:spacing w:lineRule="auto" w:line="290" w:after="100" w:beforeAutospacing="0" w:afterAutospacing="0"/>
      </w:pPr>
      <w:r>
        <w:rPr>
          <w:rFonts w:ascii="Georgia" w:hAnsi="Georgia" w:cs="Georgia" w:eastAsia="Georgia"/>
          <w:color w:val="222222"/>
          <w:sz w:val="22"/>
          <w:szCs w:val="22"/>
        </w:rPr>
        <w:t>NFT mints inject capital. Each mint sends DAI to the NFT and GSX treasuries and uses PLS to buy and burn CashX, DistroX, and DivX.</w:t>
      </w:r>
    </w:p>
    <w:p>
      <w:pPr>
        <w:pStyle w:val="P9"/>
        <w:numPr>
          <w:ilvl w:val="0"/>
          <w:numId w:val="3"/>
        </w:numPr>
        <w:spacing w:lineRule="auto" w:line="290" w:after="100" w:beforeAutospacing="0" w:afterAutospacing="0"/>
      </w:pPr>
      <w:r>
        <w:rPr>
          <w:rFonts w:ascii="Georgia" w:hAnsi="Georgia" w:cs="Georgia" w:eastAsia="Georgia"/>
          <w:color w:val="222222"/>
          <w:sz w:val="22"/>
          <w:szCs w:val="22"/>
        </w:rPr>
        <w:t>GSX activity sustains the loop. Every GSX transaction taxes 8%, split between the GSX treasury, buy and burns of all four tokens, and reflections to holders of all four tokens.</w:t>
      </w:r>
    </w:p>
    <w:p>
      <w:pPr>
        <w:pStyle w:val="P9"/>
        <w:numPr>
          <w:ilvl w:val="0"/>
          <w:numId w:val="3"/>
        </w:numPr>
        <w:spacing w:lineRule="auto" w:line="290" w:after="100" w:beforeAutospacing="0" w:afterAutospacing="0"/>
      </w:pPr>
      <w:r>
        <w:rPr>
          <w:rFonts w:ascii="Georgia" w:hAnsi="Georgia" w:cs="Georgia" w:eastAsia="Georgia"/>
          <w:color w:val="222222"/>
          <w:sz w:val="22"/>
          <w:szCs w:val="22"/>
        </w:rPr>
        <w:t>Treasuries convert capital into yield. The NFT treasury pays NFT stakers; the GSX treasury compounds, burns, and pays both the GSX single stake pool and the NFT staking pool.</w:t>
      </w:r>
    </w:p>
    <w:p>
      <w:pPr>
        <w:pStyle w:val="P9"/>
        <w:numPr>
          <w:ilvl w:val="0"/>
          <w:numId w:val="3"/>
        </w:numPr>
        <w:spacing w:lineRule="auto" w:line="290" w:after="100" w:beforeAutospacing="0" w:afterAutospacing="0"/>
      </w:pPr>
      <w:r>
        <w:rPr>
          <w:rFonts w:ascii="Georgia" w:hAnsi="Georgia" w:cs="Georgia" w:eastAsia="Georgia"/>
          <w:color w:val="222222"/>
          <w:sz w:val="22"/>
          <w:szCs w:val="22"/>
        </w:rPr>
        <w:t>Farms distribute the ecosystem's tokens to liquidity providers, deepening markets for DistroX, DivX, and GSX.</w:t>
      </w:r>
    </w:p>
    <w:p>
      <w:pPr>
        <w:spacing w:lineRule="auto" w:line="300" w:after="160" w:beforeAutospacing="0" w:afterAutospacing="0"/>
      </w:pPr>
      <w:r>
        <w:rPr>
          <w:rFonts w:ascii="Georgia" w:hAnsi="Georgia" w:cs="Georgia" w:eastAsia="Georgia"/>
          <w:color w:val="222222"/>
          <w:sz w:val="22"/>
          <w:szCs w:val="22"/>
        </w:rPr>
        <w:t>The result is a circular system: capital enters through NFTs, circulates through GSX transactions and treasuries, and exits as burns that reduce supply and as revenue share that rewards holders.</w:t>
      </w:r>
    </w:p>
    <w:p>
      <w:pPr>
        <w:pStyle w:val="P2"/>
        <w:spacing w:before="360" w:after="200" w:beforeAutospacing="0" w:afterAutospacing="0"/>
      </w:pPr>
      <w:r>
        <w:rPr>
          <w:rFonts w:ascii="Helvetica" w:hAnsi="Helvetica" w:cs="Helvetica" w:eastAsia="Helvetica"/>
          <w:b w:val="1"/>
          <w:bCs w:val="1"/>
          <w:color w:val="1F3550"/>
          <w:sz w:val="32"/>
          <w:szCs w:val="32"/>
        </w:rPr>
        <w:t>4. Core Mechanics and Tokenomics</w:t>
      </w:r>
    </w:p>
    <w:p>
      <w:pPr>
        <w:pStyle w:val="P3"/>
        <w:spacing w:before="280" w:after="140" w:beforeAutospacing="0" w:afterAutospacing="0"/>
      </w:pPr>
      <w:r>
        <w:rPr>
          <w:rFonts w:ascii="Helvetica" w:hAnsi="Helvetica" w:cs="Helvetica" w:eastAsia="Helvetica"/>
          <w:b w:val="1"/>
          <w:bCs w:val="1"/>
          <w:color w:val="2E6E4E"/>
          <w:sz w:val="26"/>
          <w:szCs w:val="26"/>
        </w:rPr>
        <w:t>4.1 CashX</w:t>
      </w:r>
    </w:p>
    <w:p>
      <w:pPr>
        <w:spacing w:lineRule="auto" w:line="300" w:after="160" w:beforeAutospacing="0" w:afterAutospacing="0"/>
      </w:pPr>
      <w:r>
        <w:rPr>
          <w:rFonts w:ascii="Georgia" w:hAnsi="Georgia" w:cs="Georgia" w:eastAsia="Georgia"/>
          <w:color w:val="222222"/>
          <w:sz w:val="22"/>
          <w:szCs w:val="22"/>
        </w:rPr>
        <w:t>CashX is the original ecosystem token. Within this final project it benefits from three continuous support mechanisms: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Buy and burn at mint.</w:t>
      </w:r>
      <w:r>
        <w:rPr>
          <w:rFonts w:ascii="Georgia" w:hAnsi="Georgia" w:cs="Georgia" w:eastAsia="Georgia"/>
          <w:color w:val="222222"/>
          <w:sz w:val="22"/>
          <w:szCs w:val="22"/>
        </w:rPr>
        <w:t xml:space="preserve"> 333,333 PLS from every NFT package purchases and burns CashX.</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Buy and burn on GSX transactions.</w:t>
      </w:r>
      <w:r>
        <w:rPr>
          <w:rFonts w:ascii="Georgia" w:hAnsi="Georgia" w:cs="Georgia" w:eastAsia="Georgia"/>
          <w:color w:val="222222"/>
          <w:sz w:val="22"/>
          <w:szCs w:val="22"/>
        </w:rPr>
        <w:t xml:space="preserve"> 0.5% of every GSX transaction.</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Reflections on GSX transactions.</w:t>
      </w:r>
      <w:r>
        <w:rPr>
          <w:rFonts w:ascii="Georgia" w:hAnsi="Georgia" w:cs="Georgia" w:eastAsia="Georgia"/>
          <w:color w:val="222222"/>
          <w:sz w:val="22"/>
          <w:szCs w:val="22"/>
        </w:rPr>
        <w:t xml:space="preserve"> 0.5% of every GSX transaction reflected to CashX.</w:t>
      </w:r>
    </w:p>
    <w:p>
      <w:pPr>
        <w:pStyle w:val="P3"/>
        <w:spacing w:before="280" w:after="140" w:beforeAutospacing="0" w:afterAutospacing="0"/>
      </w:pPr>
      <w:r>
        <w:rPr>
          <w:rFonts w:ascii="Helvetica" w:hAnsi="Helvetica" w:cs="Helvetica" w:eastAsia="Helvetica"/>
          <w:b w:val="1"/>
          <w:bCs w:val="1"/>
          <w:color w:val="2E6E4E"/>
          <w:sz w:val="26"/>
          <w:szCs w:val="26"/>
        </w:rPr>
        <w:t>4.2 DistroX</w:t>
      </w:r>
    </w:p>
    <w:p>
      <w:pPr>
        <w:spacing w:lineRule="auto" w:line="300" w:after="160" w:beforeAutospacing="0" w:afterAutospacing="0"/>
      </w:pPr>
      <w:r>
        <w:rPr>
          <w:rFonts w:ascii="Georgia" w:hAnsi="Georgia" w:cs="Georgia" w:eastAsia="Georgia"/>
          <w:color w:val="222222"/>
          <w:sz w:val="22"/>
          <w:szCs w:val="22"/>
        </w:rPr>
        <w:t>DistroX receives identical structural support:</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Buy and burn at mint.</w:t>
      </w:r>
      <w:r>
        <w:rPr>
          <w:rFonts w:ascii="Georgia" w:hAnsi="Georgia" w:cs="Georgia" w:eastAsia="Georgia"/>
          <w:color w:val="222222"/>
          <w:sz w:val="22"/>
          <w:szCs w:val="22"/>
        </w:rPr>
        <w:t xml:space="preserve"> 333,333 PLS per NFT package.</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Buy and burn on GSX transactions.</w:t>
      </w:r>
      <w:r>
        <w:rPr>
          <w:rFonts w:ascii="Georgia" w:hAnsi="Georgia" w:cs="Georgia" w:eastAsia="Georgia"/>
          <w:color w:val="222222"/>
          <w:sz w:val="22"/>
          <w:szCs w:val="22"/>
        </w:rPr>
        <w:t xml:space="preserve"> 0.5% per transaction.</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Reflections on GSX transactions.</w:t>
      </w:r>
      <w:r>
        <w:rPr>
          <w:rFonts w:ascii="Georgia" w:hAnsi="Georgia" w:cs="Georgia" w:eastAsia="Georgia"/>
          <w:color w:val="222222"/>
          <w:sz w:val="22"/>
          <w:szCs w:val="22"/>
        </w:rPr>
        <w:t xml:space="preserve"> 0.5% per transaction.</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Farms.</w:t>
      </w:r>
      <w:r>
        <w:rPr>
          <w:rFonts w:ascii="Georgia" w:hAnsi="Georgia" w:cs="Georgia" w:eastAsia="Georgia"/>
          <w:color w:val="222222"/>
          <w:sz w:val="22"/>
          <w:szCs w:val="22"/>
        </w:rPr>
        <w:t xml:space="preserve"> 2 farms earning DistroX launch with the project.</w:t>
      </w:r>
    </w:p>
    <w:p>
      <w:pPr>
        <w:pStyle w:val="P3"/>
        <w:spacing w:before="280" w:after="140" w:beforeAutospacing="0" w:afterAutospacing="0"/>
      </w:pPr>
      <w:r>
        <w:rPr>
          <w:rFonts w:ascii="Helvetica" w:hAnsi="Helvetica" w:cs="Helvetica" w:eastAsia="Helvetica"/>
          <w:b w:val="1"/>
          <w:bCs w:val="1"/>
          <w:color w:val="2E6E4E"/>
          <w:sz w:val="26"/>
          <w:szCs w:val="26"/>
        </w:rPr>
        <w:t>4.3 DivX</w:t>
      </w:r>
    </w:p>
    <w:p>
      <w:pPr>
        <w:spacing w:lineRule="auto" w:line="300" w:after="160" w:beforeAutospacing="0" w:afterAutospacing="0"/>
      </w:pPr>
      <w:r>
        <w:rPr>
          <w:rFonts w:ascii="Georgia" w:hAnsi="Georgia" w:cs="Georgia" w:eastAsia="Georgia"/>
          <w:color w:val="222222"/>
          <w:sz w:val="22"/>
          <w:szCs w:val="22"/>
        </w:rPr>
        <w:t>DivX mirrors the same design:</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Buy and burn at mint.</w:t>
      </w:r>
      <w:r>
        <w:rPr>
          <w:rFonts w:ascii="Georgia" w:hAnsi="Georgia" w:cs="Georgia" w:eastAsia="Georgia"/>
          <w:color w:val="222222"/>
          <w:sz w:val="22"/>
          <w:szCs w:val="22"/>
        </w:rPr>
        <w:t xml:space="preserve"> 333,333 PLS per NFT package.</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Buy and burn on GSX transactions.</w:t>
      </w:r>
      <w:r>
        <w:rPr>
          <w:rFonts w:ascii="Georgia" w:hAnsi="Georgia" w:cs="Georgia" w:eastAsia="Georgia"/>
          <w:color w:val="222222"/>
          <w:sz w:val="22"/>
          <w:szCs w:val="22"/>
        </w:rPr>
        <w:t xml:space="preserve"> 0.5% per transaction.</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Reflections on GSX transactions.</w:t>
      </w:r>
      <w:r>
        <w:rPr>
          <w:rFonts w:ascii="Georgia" w:hAnsi="Georgia" w:cs="Georgia" w:eastAsia="Georgia"/>
          <w:color w:val="222222"/>
          <w:sz w:val="22"/>
          <w:szCs w:val="22"/>
        </w:rPr>
        <w:t xml:space="preserve"> 0.5% per transaction.</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Farms.</w:t>
      </w:r>
      <w:r>
        <w:rPr>
          <w:rFonts w:ascii="Georgia" w:hAnsi="Georgia" w:cs="Georgia" w:eastAsia="Georgia"/>
          <w:color w:val="222222"/>
          <w:sz w:val="22"/>
          <w:szCs w:val="22"/>
        </w:rPr>
        <w:t xml:space="preserve"> 2 farms earning DivX launch with the project.</w:t>
      </w:r>
    </w:p>
    <w:p>
      <w:pPr>
        <w:pStyle w:val="P3"/>
        <w:spacing w:before="280" w:after="140" w:beforeAutospacing="0" w:afterAutospacing="0"/>
      </w:pPr>
      <w:r>
        <w:rPr>
          <w:rFonts w:ascii="Helvetica" w:hAnsi="Helvetica" w:cs="Helvetica" w:eastAsia="Helvetica"/>
          <w:b w:val="1"/>
          <w:bCs w:val="1"/>
          <w:color w:val="2E6E4E"/>
          <w:sz w:val="26"/>
          <w:szCs w:val="26"/>
        </w:rPr>
        <w:t>4.4 GSX: Tax Structure and Treasury Flows</w:t>
      </w:r>
    </w:p>
    <w:p>
      <w:pPr>
        <w:spacing w:lineRule="auto" w:line="300" w:after="160" w:beforeAutospacing="0" w:afterAutospacing="0"/>
      </w:pPr>
      <w:r>
        <w:rPr>
          <w:rFonts w:ascii="Georgia" w:hAnsi="Georgia" w:cs="Georgia" w:eastAsia="Georgia"/>
          <w:color w:val="222222"/>
          <w:sz w:val="22"/>
          <w:szCs w:val="22"/>
        </w:rPr>
        <w:t>GSX is the newest token and the economic engine of the ecosystem. Every GSX transaction carries an 8% tax, allocated as follows:</w:t>
      </w:r>
    </w:p>
    <w:tbl>
      <w:tblPr>
        <w:tblW w:w="720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left w:w="10" w:type="dxa"/>
          <w:right w:w="10" w:type="dxa"/>
        </w:tblCellMar>
      </w:tblPr>
      <w:tblGrid>
        <w:gridCol w:w="5200"/>
        <w:gridCol w:w="2000"/>
      </w:tblGrid>
      <w:tr>
        <w:trPr>
          <w:tblHeader/>
        </w:trP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1F3550"/>
            <w:tcMar>
              <w:top w:w="90" w:type="dxa"/>
              <w:left w:w="140" w:type="dxa"/>
              <w:bottom w:w="90" w:type="dxa"/>
              <w:right w:w="140" w:type="dxa"/>
            </w:tcMar>
          </w:tcPr>
          <w:p>
            <w:r>
              <w:rPr>
                <w:rFonts w:ascii="Helvetica" w:hAnsi="Helvetica" w:cs="Helvetica" w:eastAsia="Helvetica"/>
                <w:b w:val="1"/>
                <w:bCs w:val="1"/>
                <w:color w:val="FFFFFF"/>
                <w:sz w:val="21"/>
                <w:szCs w:val="21"/>
              </w:rPr>
              <w:t>Allocation</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1F3550"/>
            <w:tcMar>
              <w:top w:w="90" w:type="dxa"/>
              <w:left w:w="140" w:type="dxa"/>
              <w:bottom w:w="90" w:type="dxa"/>
              <w:right w:w="140" w:type="dxa"/>
            </w:tcMar>
          </w:tcPr>
          <w:p>
            <w:r>
              <w:rPr>
                <w:rFonts w:ascii="Helvetica" w:hAnsi="Helvetica" w:cs="Helvetica" w:eastAsia="Helvetica"/>
                <w:b w:val="1"/>
                <w:bCs w:val="1"/>
                <w:color w:val="FFFFFF"/>
                <w:sz w:val="21"/>
                <w:szCs w:val="21"/>
              </w:rPr>
              <w:t>Rate</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GSX Treasury</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4.0%</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Buy and burn: CashX</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0.5%</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Buy and burn: DistroX</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0.5%</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Buy and burn: DivX</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0.5%</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Buy and burn: GSX</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0.5%</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Reflection to CashX</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0.5%</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Reflection to DistroX</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0.5%</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Reflection to DivX</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0.5%</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Reflection to GSX</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0.5%</w:t>
            </w:r>
          </w:p>
        </w:tc>
      </w:tr>
      <w:tr>
        <w:tc>
          <w:tcPr>
            <w:tcW w:w="5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1"/>
                <w:bCs w:val="1"/>
                <w:color w:val="222222"/>
                <w:sz w:val="21"/>
                <w:szCs w:val="21"/>
              </w:rPr>
              <w:t>Total</w:t>
            </w:r>
          </w:p>
        </w:tc>
        <w:tc>
          <w:tcPr>
            <w:tcW w:w="20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1"/>
                <w:bCs w:val="1"/>
                <w:color w:val="222222"/>
                <w:sz w:val="21"/>
                <w:szCs w:val="21"/>
              </w:rPr>
              <w:t>8.0%</w:t>
            </w:r>
          </w:p>
        </w:tc>
      </w:tr>
    </w:tbl>
    <w:p>
      <w:pPr>
        <w:spacing w:after="120" w:beforeAutospacing="0" w:afterAutospacing="0"/>
      </w:pPr>
    </w:p>
    <w:p>
      <w:pPr>
        <w:spacing w:lineRule="auto" w:line="300" w:after="160" w:beforeAutospacing="0" w:afterAutospacing="0"/>
      </w:pPr>
      <w:r>
        <w:rPr>
          <w:rFonts w:ascii="Georgia" w:hAnsi="Georgia" w:cs="Georgia" w:eastAsia="Georgia"/>
          <w:color w:val="222222"/>
          <w:sz w:val="22"/>
          <w:szCs w:val="22"/>
        </w:rPr>
        <w:t>Every GSX transaction therefore does three things at once: it funds the treasury, reduces the supply of all four tokens, and rewards holders of all four tokens.</w:t>
      </w:r>
    </w:p>
    <w:p>
      <w:pPr>
        <w:spacing w:lineRule="auto" w:line="300" w:after="160" w:beforeAutospacing="0" w:afterAutospacing="0"/>
      </w:pPr>
      <w:r>
        <w:rPr>
          <w:rFonts w:ascii="Georgia" w:hAnsi="Georgia" w:cs="Georgia" w:eastAsia="Georgia"/>
          <w:b w:val="1"/>
          <w:bCs w:val="1"/>
          <w:color w:val="222222"/>
          <w:sz w:val="22"/>
          <w:szCs w:val="22"/>
        </w:rPr>
        <w:t>GSX Treasury allocation (four equal streams):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25% compounds.</w:t>
      </w:r>
      <w:r>
        <w:rPr>
          <w:rFonts w:ascii="Georgia" w:hAnsi="Georgia" w:cs="Georgia" w:eastAsia="Georgia"/>
          <w:color w:val="222222"/>
          <w:sz w:val="22"/>
          <w:szCs w:val="22"/>
        </w:rPr>
        <w:t xml:space="preserve"> Grows the treasury's principal for long-term sustainability.</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25% buys and burns.</w:t>
      </w:r>
      <w:r>
        <w:rPr>
          <w:rFonts w:ascii="Georgia" w:hAnsi="Georgia" w:cs="Georgia" w:eastAsia="Georgia"/>
          <w:color w:val="222222"/>
          <w:sz w:val="22"/>
          <w:szCs w:val="22"/>
        </w:rPr>
        <w:t xml:space="preserve"> Ongoing deflationary pressure.</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25% funds the GSX single stake revenue share.</w:t>
      </w:r>
      <w:r>
        <w:rPr>
          <w:rFonts w:ascii="Georgia" w:hAnsi="Georgia" w:cs="Georgia" w:eastAsia="Georgia"/>
          <w:color w:val="222222"/>
          <w:sz w:val="22"/>
          <w:szCs w:val="22"/>
        </w:rPr>
        <w:t xml:space="preserve"> Paid in PLSX.</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25% feeds the NFT staking pool.</w:t>
      </w:r>
      <w:r>
        <w:rPr>
          <w:rFonts w:ascii="Georgia" w:hAnsi="Georgia" w:cs="Georgia" w:eastAsia="Georgia"/>
          <w:color w:val="222222"/>
          <w:sz w:val="22"/>
          <w:szCs w:val="22"/>
        </w:rPr>
        <w:t xml:space="preserve"> Paid in uPLS.</w:t>
      </w:r>
    </w:p>
    <w:p>
      <w:pPr>
        <w:pStyle w:val="P3"/>
        <w:spacing w:before="280" w:after="140" w:beforeAutospacing="0" w:afterAutospacing="0"/>
      </w:pPr>
      <w:r>
        <w:rPr>
          <w:rFonts w:ascii="Helvetica" w:hAnsi="Helvetica" w:cs="Helvetica" w:eastAsia="Helvetica"/>
          <w:b w:val="1"/>
          <w:bCs w:val="1"/>
          <w:color w:val="2E6E4E"/>
          <w:sz w:val="26"/>
          <w:szCs w:val="26"/>
        </w:rPr>
        <w:t>4.5 NFTs: Package, Treasury Mechanics, and Staking</w:t>
      </w:r>
    </w:p>
    <w:p>
      <w:pPr>
        <w:spacing w:lineRule="auto" w:line="300" w:after="160" w:beforeAutospacing="0" w:afterAutospacing="0"/>
      </w:pPr>
      <w:r>
        <w:rPr>
          <w:rFonts w:ascii="Georgia" w:hAnsi="Georgia" w:cs="Georgia" w:eastAsia="Georgia"/>
          <w:b w:val="1"/>
          <w:bCs w:val="1"/>
          <w:color w:val="222222"/>
          <w:sz w:val="22"/>
          <w:szCs w:val="22"/>
        </w:rPr>
        <w:t xml:space="preserve">The NFT Package: 110 DAI + 1.5 million PLS. </w:t>
      </w:r>
      <w:r>
        <w:rPr>
          <w:rFonts w:ascii="Georgia" w:hAnsi="Georgia" w:cs="Georgia" w:eastAsia="Georgia"/>
          <w:color w:val="222222"/>
          <w:sz w:val="22"/>
          <w:szCs w:val="22"/>
        </w:rPr>
        <w:t>Each package delivers 1 NFT plus $30 worth of GSX airdropped, valued at 5 PLS per GSX at mint completion.</w:t>
      </w:r>
    </w:p>
    <w:p>
      <w:pPr>
        <w:spacing w:lineRule="auto" w:line="300" w:after="160" w:beforeAutospacing="0" w:afterAutospacing="0"/>
      </w:pPr>
      <w:r>
        <w:rPr>
          <w:rFonts w:ascii="Georgia" w:hAnsi="Georgia" w:cs="Georgia" w:eastAsia="Georgia"/>
          <w:b w:val="1"/>
          <w:bCs w:val="1"/>
          <w:color w:val="222222"/>
          <w:sz w:val="22"/>
          <w:szCs w:val="22"/>
        </w:rPr>
        <w:t>Where the capital goes:</w:t>
      </w:r>
    </w:p>
    <w:tbl>
      <w:tblPr>
        <w:tblW w:w="780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left w:w="10" w:type="dxa"/>
          <w:right w:w="10" w:type="dxa"/>
        </w:tblCellMar>
      </w:tblPr>
      <w:tblGrid>
        <w:gridCol w:w="2400"/>
        <w:gridCol w:w="3200"/>
        <w:gridCol w:w="2200"/>
      </w:tblGrid>
      <w:tr>
        <w:trPr>
          <w:tblHeader/>
        </w:trPr>
        <w:tc>
          <w:tcPr>
            <w:tcW w:w="24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1F3550"/>
            <w:tcMar>
              <w:top w:w="90" w:type="dxa"/>
              <w:left w:w="140" w:type="dxa"/>
              <w:bottom w:w="90" w:type="dxa"/>
              <w:right w:w="140" w:type="dxa"/>
            </w:tcMar>
          </w:tcPr>
          <w:p>
            <w:r>
              <w:rPr>
                <w:rFonts w:ascii="Helvetica" w:hAnsi="Helvetica" w:cs="Helvetica" w:eastAsia="Helvetica"/>
                <w:b w:val="1"/>
                <w:bCs w:val="1"/>
                <w:color w:val="FFFFFF"/>
                <w:sz w:val="21"/>
                <w:szCs w:val="21"/>
              </w:rPr>
              <w:t>Source</w:t>
            </w:r>
          </w:p>
        </w:tc>
        <w:tc>
          <w:tcPr>
            <w:tcW w:w="3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1F3550"/>
            <w:tcMar>
              <w:top w:w="90" w:type="dxa"/>
              <w:left w:w="140" w:type="dxa"/>
              <w:bottom w:w="90" w:type="dxa"/>
              <w:right w:w="140" w:type="dxa"/>
            </w:tcMar>
          </w:tcPr>
          <w:p>
            <w:r>
              <w:rPr>
                <w:rFonts w:ascii="Helvetica" w:hAnsi="Helvetica" w:cs="Helvetica" w:eastAsia="Helvetica"/>
                <w:b w:val="1"/>
                <w:bCs w:val="1"/>
                <w:color w:val="FFFFFF"/>
                <w:sz w:val="21"/>
                <w:szCs w:val="21"/>
              </w:rPr>
              <w:t>Destination</w:t>
            </w:r>
          </w:p>
        </w:tc>
        <w:tc>
          <w:tcPr>
            <w:tcW w:w="2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1F3550"/>
            <w:tcMar>
              <w:top w:w="90" w:type="dxa"/>
              <w:left w:w="140" w:type="dxa"/>
              <w:bottom w:w="90" w:type="dxa"/>
              <w:right w:w="140" w:type="dxa"/>
            </w:tcMar>
          </w:tcPr>
          <w:p>
            <w:r>
              <w:rPr>
                <w:rFonts w:ascii="Helvetica" w:hAnsi="Helvetica" w:cs="Helvetica" w:eastAsia="Helvetica"/>
                <w:b w:val="1"/>
                <w:bCs w:val="1"/>
                <w:color w:val="FFFFFF"/>
                <w:sz w:val="21"/>
                <w:szCs w:val="21"/>
              </w:rPr>
              <w:t>Amount</w:t>
            </w:r>
          </w:p>
        </w:tc>
      </w:tr>
      <w:tr>
        <w:tc>
          <w:tcPr>
            <w:tcW w:w="24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DAI (110 total)</w:t>
            </w:r>
          </w:p>
        </w:tc>
        <w:tc>
          <w:tcPr>
            <w:tcW w:w="3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NFT Treasury</w:t>
            </w:r>
          </w:p>
        </w:tc>
        <w:tc>
          <w:tcPr>
            <w:tcW w:w="2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80 DAI</w:t>
            </w:r>
          </w:p>
        </w:tc>
      </w:tr>
      <w:tr>
        <w:tc>
          <w:tcPr>
            <w:tcW w:w="24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DAI (110 total)</w:t>
            </w:r>
          </w:p>
        </w:tc>
        <w:tc>
          <w:tcPr>
            <w:tcW w:w="3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GSX Treasury</w:t>
            </w:r>
          </w:p>
        </w:tc>
        <w:tc>
          <w:tcPr>
            <w:tcW w:w="2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30 DAI</w:t>
            </w:r>
          </w:p>
        </w:tc>
      </w:tr>
      <w:tr>
        <w:tc>
          <w:tcPr>
            <w:tcW w:w="24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PLS (1.5M total)</w:t>
            </w:r>
          </w:p>
        </w:tc>
        <w:tc>
          <w:tcPr>
            <w:tcW w:w="3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Buy and burn CashX</w:t>
            </w:r>
          </w:p>
        </w:tc>
        <w:tc>
          <w:tcPr>
            <w:tcW w:w="2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333,333 PLS</w:t>
            </w:r>
          </w:p>
        </w:tc>
      </w:tr>
      <w:tr>
        <w:tc>
          <w:tcPr>
            <w:tcW w:w="24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PLS (1.5M total)</w:t>
            </w:r>
          </w:p>
        </w:tc>
        <w:tc>
          <w:tcPr>
            <w:tcW w:w="3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Buy and burn DistroX</w:t>
            </w:r>
          </w:p>
        </w:tc>
        <w:tc>
          <w:tcPr>
            <w:tcW w:w="2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333,333 PLS</w:t>
            </w:r>
          </w:p>
        </w:tc>
      </w:tr>
      <w:tr>
        <w:tc>
          <w:tcPr>
            <w:tcW w:w="24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PLS (1.5M total)</w:t>
            </w:r>
          </w:p>
        </w:tc>
        <w:tc>
          <w:tcPr>
            <w:tcW w:w="3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Buy and burn DivX</w:t>
            </w:r>
          </w:p>
        </w:tc>
        <w:tc>
          <w:tcPr>
            <w:tcW w:w="2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333,333 PLS</w:t>
            </w:r>
          </w:p>
        </w:tc>
      </w:tr>
      <w:tr>
        <w:tc>
          <w:tcPr>
            <w:tcW w:w="24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PLS (1.5M total)</w:t>
            </w:r>
          </w:p>
        </w:tc>
        <w:tc>
          <w:tcPr>
            <w:tcW w:w="3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GSX Treasury</w:t>
            </w:r>
          </w:p>
        </w:tc>
        <w:tc>
          <w:tcPr>
            <w:tcW w:w="2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500,000 PLS</w:t>
            </w:r>
          </w:p>
        </w:tc>
      </w:tr>
    </w:tbl>
    <w:p>
      <w:pPr>
        <w:spacing w:after="120" w:beforeAutospacing="0" w:afterAutospacing="0"/>
      </w:pPr>
    </w:p>
    <w:p>
      <w:pPr>
        <w:spacing w:lineRule="auto" w:line="300" w:after="160" w:beforeAutospacing="0" w:afterAutospacing="0"/>
      </w:pPr>
      <w:r>
        <w:rPr>
          <w:rFonts w:ascii="Georgia" w:hAnsi="Georgia" w:cs="Georgia" w:eastAsia="Georgia"/>
          <w:b w:val="1"/>
          <w:bCs w:val="1"/>
          <w:color w:val="222222"/>
          <w:sz w:val="22"/>
          <w:szCs w:val="22"/>
        </w:rPr>
        <w:t xml:space="preserve">NFT Treasury mechanics. </w:t>
      </w:r>
      <w:r>
        <w:rPr>
          <w:rFonts w:ascii="Georgia" w:hAnsi="Georgia" w:cs="Georgia" w:eastAsia="Georgia"/>
          <w:color w:val="222222"/>
          <w:sz w:val="22"/>
          <w:szCs w:val="22"/>
        </w:rPr>
        <w:t>50% compounds for treasury growth, and 50% is distributed to NFT stakers.</w:t>
      </w:r>
    </w:p>
    <w:p>
      <w:pPr>
        <w:spacing w:lineRule="auto" w:line="300" w:after="160" w:beforeAutospacing="0" w:afterAutospacing="0"/>
      </w:pPr>
      <w:r>
        <w:rPr>
          <w:rFonts w:ascii="Georgia" w:hAnsi="Georgia" w:cs="Georgia" w:eastAsia="Georgia"/>
          <w:b w:val="1"/>
          <w:bCs w:val="1"/>
          <w:color w:val="222222"/>
          <w:sz w:val="22"/>
          <w:szCs w:val="22"/>
        </w:rPr>
        <w:t xml:space="preserve">NFT staking. </w:t>
      </w:r>
      <w:r>
        <w:rPr>
          <w:rFonts w:ascii="Georgia" w:hAnsi="Georgia" w:cs="Georgia" w:eastAsia="Georgia"/>
          <w:color w:val="222222"/>
          <w:sz w:val="22"/>
          <w:szCs w:val="22"/>
        </w:rPr>
        <w:t>Staked NFTs earn uPLS, funded from two sources: the NFT treasury distribution and the 25% stream from the GSX treasury.</w:t>
      </w:r>
    </w:p>
    <w:p>
      <w:pPr>
        <w:pStyle w:val="P2"/>
        <w:spacing w:before="360" w:after="200" w:beforeAutospacing="0" w:afterAutospacing="0"/>
      </w:pPr>
      <w:r>
        <w:rPr>
          <w:rFonts w:ascii="Helvetica" w:hAnsi="Helvetica" w:cs="Helvetica" w:eastAsia="Helvetica"/>
          <w:b w:val="1"/>
          <w:bCs w:val="1"/>
          <w:color w:val="1F3550"/>
          <w:sz w:val="32"/>
          <w:szCs w:val="32"/>
        </w:rPr>
        <w:t>5. Revenue Generation and Treasury Systems</w:t>
      </w:r>
    </w:p>
    <w:p>
      <w:pPr>
        <w:spacing w:lineRule="auto" w:line="300" w:after="160" w:beforeAutospacing="0" w:afterAutospacing="0"/>
      </w:pPr>
      <w:r>
        <w:rPr>
          <w:rFonts w:ascii="Georgia" w:hAnsi="Georgia" w:cs="Georgia" w:eastAsia="Georgia"/>
          <w:color w:val="222222"/>
          <w:sz w:val="22"/>
          <w:szCs w:val="22"/>
        </w:rPr>
        <w:t>Across the entire ecosystem, five treasuries currently hold a combined total of approximately $110,000 USD. This existing capital base means revenue systems are funded by real assets from the outset rather than depending solely on future inflows. The two treasuries central to this final project have distinct roles:</w:t>
      </w:r>
    </w:p>
    <w:p>
      <w:pPr>
        <w:spacing w:lineRule="auto" w:line="300" w:after="160" w:beforeAutospacing="0" w:afterAutospacing="0"/>
      </w:pPr>
      <w:r>
        <w:rPr>
          <w:rFonts w:ascii="Georgia" w:hAnsi="Georgia" w:cs="Georgia" w:eastAsia="Georgia"/>
          <w:b w:val="1"/>
          <w:bCs w:val="1"/>
          <w:color w:val="222222"/>
          <w:sz w:val="22"/>
          <w:szCs w:val="22"/>
        </w:rPr>
        <w:t>NFT Treasury</w:t>
      </w:r>
    </w:p>
    <w:p>
      <w:pPr>
        <w:pStyle w:val="P9"/>
        <w:numPr>
          <w:ilvl w:val="0"/>
          <w:numId w:val="2"/>
        </w:numPr>
        <w:spacing w:lineRule="auto" w:line="290" w:after="100" w:beforeAutospacing="0" w:afterAutospacing="0"/>
      </w:pPr>
      <w:r>
        <w:rPr>
          <w:rFonts w:ascii="Georgia" w:hAnsi="Georgia" w:cs="Georgia" w:eastAsia="Georgia"/>
          <w:color w:val="222222"/>
          <w:sz w:val="22"/>
          <w:szCs w:val="22"/>
        </w:rPr>
        <w:t>Funded by 80 DAI from every NFT mint.</w:t>
      </w:r>
    </w:p>
    <w:p>
      <w:pPr>
        <w:pStyle w:val="P9"/>
        <w:numPr>
          <w:ilvl w:val="0"/>
          <w:numId w:val="2"/>
        </w:numPr>
        <w:spacing w:lineRule="auto" w:line="290" w:after="100" w:beforeAutospacing="0" w:afterAutospacing="0"/>
      </w:pPr>
      <w:r>
        <w:rPr>
          <w:rFonts w:ascii="Georgia" w:hAnsi="Georgia" w:cs="Georgia" w:eastAsia="Georgia"/>
          <w:color w:val="222222"/>
          <w:sz w:val="22"/>
          <w:szCs w:val="22"/>
        </w:rPr>
        <w:t>50% compounds; 50% flows directly to NFT stakers.</w:t>
      </w:r>
    </w:p>
    <w:p>
      <w:pPr>
        <w:pStyle w:val="P9"/>
        <w:numPr>
          <w:ilvl w:val="0"/>
          <w:numId w:val="2"/>
        </w:numPr>
        <w:spacing w:lineRule="auto" w:line="290" w:after="100" w:beforeAutospacing="0" w:afterAutospacing="0"/>
      </w:pPr>
      <w:r>
        <w:rPr>
          <w:rFonts w:ascii="Georgia" w:hAnsi="Georgia" w:cs="Georgia" w:eastAsia="Georgia"/>
          <w:color w:val="222222"/>
          <w:sz w:val="22"/>
          <w:szCs w:val="22"/>
        </w:rPr>
        <w:t>Purpose: convert mint capital into durable, growing yield for NFT holders.</w:t>
      </w:r>
    </w:p>
    <w:p>
      <w:pPr>
        <w:spacing w:lineRule="auto" w:line="300" w:after="160" w:beforeAutospacing="0" w:afterAutospacing="0"/>
      </w:pPr>
      <w:r>
        <w:rPr>
          <w:rFonts w:ascii="Georgia" w:hAnsi="Georgia" w:cs="Georgia" w:eastAsia="Georgia"/>
          <w:b w:val="1"/>
          <w:bCs w:val="1"/>
          <w:color w:val="222222"/>
          <w:sz w:val="22"/>
          <w:szCs w:val="22"/>
        </w:rPr>
        <w:t>GSX Treasury</w:t>
      </w:r>
    </w:p>
    <w:p>
      <w:pPr>
        <w:pStyle w:val="P9"/>
        <w:numPr>
          <w:ilvl w:val="0"/>
          <w:numId w:val="2"/>
        </w:numPr>
        <w:spacing w:lineRule="auto" w:line="290" w:after="100" w:beforeAutospacing="0" w:afterAutospacing="0"/>
      </w:pPr>
      <w:r>
        <w:rPr>
          <w:rFonts w:ascii="Georgia" w:hAnsi="Georgia" w:cs="Georgia" w:eastAsia="Georgia"/>
          <w:color w:val="222222"/>
          <w:sz w:val="22"/>
          <w:szCs w:val="22"/>
        </w:rPr>
        <w:t>Funded by 30 DAI and 500,000 PLS from every NFT mint, plus 4% of every GSX transaction.</w:t>
      </w:r>
    </w:p>
    <w:p>
      <w:pPr>
        <w:pStyle w:val="P9"/>
        <w:numPr>
          <w:ilvl w:val="0"/>
          <w:numId w:val="2"/>
        </w:numPr>
        <w:spacing w:lineRule="auto" w:line="290" w:after="100" w:beforeAutospacing="0" w:afterAutospacing="0"/>
      </w:pPr>
      <w:r>
        <w:rPr>
          <w:rFonts w:ascii="Georgia" w:hAnsi="Georgia" w:cs="Georgia" w:eastAsia="Georgia"/>
          <w:color w:val="222222"/>
          <w:sz w:val="22"/>
          <w:szCs w:val="22"/>
        </w:rPr>
        <w:t>Split into four equal 25% streams: compounding, buy and burns, PLSX revenue share for single stakers, and uPLS for the NFT staking pool.</w:t>
      </w:r>
    </w:p>
    <w:p>
      <w:pPr>
        <w:pStyle w:val="P9"/>
        <w:numPr>
          <w:ilvl w:val="0"/>
          <w:numId w:val="2"/>
        </w:numPr>
        <w:spacing w:lineRule="auto" w:line="290" w:after="100" w:beforeAutospacing="0" w:afterAutospacing="0"/>
      </w:pPr>
      <w:r>
        <w:rPr>
          <w:rFonts w:ascii="Georgia" w:hAnsi="Georgia" w:cs="Georgia" w:eastAsia="Georgia"/>
          <w:color w:val="222222"/>
          <w:sz w:val="22"/>
          <w:szCs w:val="22"/>
        </w:rPr>
        <w:t>Purpose: turn ongoing transaction activity into yield, burns, and reserve growth.</w:t>
      </w:r>
    </w:p>
    <w:p>
      <w:pPr>
        <w:spacing w:lineRule="auto" w:line="300" w:after="160" w:beforeAutospacing="0" w:afterAutospacing="0"/>
      </w:pPr>
      <w:r>
        <w:rPr>
          <w:rFonts w:ascii="Georgia" w:hAnsi="Georgia" w:cs="Georgia" w:eastAsia="Georgia"/>
          <w:b w:val="1"/>
          <w:bCs w:val="1"/>
          <w:color w:val="222222"/>
          <w:sz w:val="22"/>
          <w:szCs w:val="22"/>
        </w:rPr>
        <w:t>Deployment timeline:</w:t>
      </w:r>
    </w:p>
    <w:p>
      <w:pPr>
        <w:pStyle w:val="P9"/>
        <w:numPr>
          <w:ilvl w:val="0"/>
          <w:numId w:val="2"/>
        </w:numPr>
        <w:spacing w:lineRule="auto" w:line="290" w:after="100" w:beforeAutospacing="0" w:afterAutospacing="0"/>
      </w:pPr>
      <w:r>
        <w:rPr>
          <w:rFonts w:ascii="Georgia" w:hAnsi="Georgia" w:cs="Georgia" w:eastAsia="Georgia"/>
          <w:color w:val="222222"/>
          <w:sz w:val="22"/>
          <w:szCs w:val="22"/>
        </w:rPr>
        <w:t>Revenue sharing begins 48 hours after launch.</w:t>
      </w:r>
    </w:p>
    <w:p>
      <w:pPr>
        <w:pStyle w:val="P9"/>
        <w:numPr>
          <w:ilvl w:val="0"/>
          <w:numId w:val="2"/>
        </w:numPr>
        <w:spacing w:lineRule="auto" w:line="290" w:after="100" w:beforeAutospacing="0" w:afterAutospacing="0"/>
      </w:pPr>
      <w:r>
        <w:rPr>
          <w:rFonts w:ascii="Georgia" w:hAnsi="Georgia" w:cs="Georgia" w:eastAsia="Georgia"/>
          <w:color w:val="222222"/>
          <w:sz w:val="22"/>
          <w:szCs w:val="22"/>
        </w:rPr>
        <w:t>Full treasury deployment is expected within 2 to 3 weeks.</w:t>
      </w:r>
    </w:p>
    <w:p>
      <w:pPr>
        <w:pStyle w:val="P9"/>
        <w:numPr>
          <w:ilvl w:val="0"/>
          <w:numId w:val="2"/>
        </w:numPr>
        <w:spacing w:lineRule="auto" w:line="290" w:after="100" w:beforeAutospacing="0" w:afterAutospacing="0"/>
      </w:pPr>
      <w:r>
        <w:rPr>
          <w:rFonts w:ascii="Georgia" w:hAnsi="Georgia" w:cs="Georgia" w:eastAsia="Georgia"/>
          <w:color w:val="222222"/>
          <w:sz w:val="22"/>
          <w:szCs w:val="22"/>
        </w:rPr>
        <w:t>APR ramps to full throttle over approximately 185 days, allowing the treasuries to build principal before paying at maximum capacity.</w:t>
      </w:r>
    </w:p>
    <w:p>
      <w:pPr>
        <w:spacing w:lineRule="auto" w:line="300" w:after="160" w:beforeAutospacing="0" w:afterAutospacing="0"/>
      </w:pPr>
      <w:r>
        <w:rPr>
          <w:rFonts w:ascii="Georgia" w:hAnsi="Georgia" w:cs="Georgia" w:eastAsia="Georgia"/>
          <w:color w:val="222222"/>
          <w:sz w:val="22"/>
          <w:szCs w:val="22"/>
        </w:rPr>
        <w:t>Because both treasuries dedicate a portion of inflows to compounding (50% for the NFT treasury and 25% for the GSX treasury), the revenue base grows over time rather than depleting. This is the foundation of the ecosystem's sustainability model.</w:t>
      </w:r>
    </w:p>
    <w:p>
      <w:pPr>
        <w:pStyle w:val="P2"/>
        <w:spacing w:before="360" w:after="200" w:beforeAutospacing="0" w:afterAutospacing="0"/>
      </w:pPr>
      <w:r>
        <w:rPr>
          <w:rFonts w:ascii="Helvetica" w:hAnsi="Helvetica" w:cs="Helvetica" w:eastAsia="Helvetica"/>
          <w:b w:val="1"/>
          <w:bCs w:val="1"/>
          <w:color w:val="1F3550"/>
          <w:sz w:val="32"/>
          <w:szCs w:val="32"/>
        </w:rPr>
        <w:t>6. Staking, Farms, and Reward Distribution</w:t>
      </w:r>
    </w:p>
    <w:p>
      <w:pPr>
        <w:spacing w:lineRule="auto" w:line="300" w:after="160" w:beforeAutospacing="0" w:afterAutospacing="0"/>
      </w:pPr>
      <w:r>
        <w:rPr>
          <w:rFonts w:ascii="Georgia" w:hAnsi="Georgia" w:cs="Georgia" w:eastAsia="Georgia"/>
          <w:b w:val="1"/>
          <w:bCs w:val="1"/>
          <w:color w:val="222222"/>
          <w:sz w:val="22"/>
          <w:szCs w:val="22"/>
        </w:rPr>
        <w:t>Staking pools: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NFT staking.</w:t>
      </w:r>
      <w:r>
        <w:rPr>
          <w:rFonts w:ascii="Georgia" w:hAnsi="Georgia" w:cs="Georgia" w:eastAsia="Georgia"/>
          <w:color w:val="222222"/>
          <w:sz w:val="22"/>
          <w:szCs w:val="22"/>
        </w:rPr>
        <w:t xml:space="preserve"> Earns uPLS, funded by 50% of NFT treasury inflows plus 25% of GSX treasury flows.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GSX single stake.</w:t>
      </w:r>
      <w:r>
        <w:rPr>
          <w:rFonts w:ascii="Georgia" w:hAnsi="Georgia" w:cs="Georgia" w:eastAsia="Georgia"/>
          <w:color w:val="222222"/>
          <w:sz w:val="22"/>
          <w:szCs w:val="22"/>
        </w:rPr>
        <w:t xml:space="preserve"> Earns PLSX, funded by 25% of GSX treasury flows.</w:t>
      </w:r>
    </w:p>
    <w:p>
      <w:pPr>
        <w:spacing w:lineRule="auto" w:line="300" w:after="160" w:beforeAutospacing="0" w:afterAutospacing="0"/>
      </w:pPr>
      <w:r>
        <w:rPr>
          <w:rFonts w:ascii="Georgia" w:hAnsi="Georgia" w:cs="Georgia" w:eastAsia="Georgia"/>
          <w:b w:val="1"/>
          <w:bCs w:val="1"/>
          <w:color w:val="222222"/>
          <w:sz w:val="22"/>
          <w:szCs w:val="22"/>
        </w:rPr>
        <w:t>Farms launching with the project:</w:t>
      </w:r>
    </w:p>
    <w:p>
      <w:pPr>
        <w:pStyle w:val="P9"/>
        <w:numPr>
          <w:ilvl w:val="0"/>
          <w:numId w:val="2"/>
        </w:numPr>
        <w:spacing w:lineRule="auto" w:line="290" w:after="100" w:beforeAutospacing="0" w:afterAutospacing="0"/>
      </w:pPr>
      <w:r>
        <w:rPr>
          <w:rFonts w:ascii="Georgia" w:hAnsi="Georgia" w:cs="Georgia" w:eastAsia="Georgia"/>
          <w:color w:val="222222"/>
          <w:sz w:val="22"/>
          <w:szCs w:val="22"/>
        </w:rPr>
        <w:t>2 farms earning DistroX.</w:t>
      </w:r>
    </w:p>
    <w:p>
      <w:pPr>
        <w:pStyle w:val="P9"/>
        <w:numPr>
          <w:ilvl w:val="0"/>
          <w:numId w:val="2"/>
        </w:numPr>
        <w:spacing w:lineRule="auto" w:line="290" w:after="100" w:beforeAutospacing="0" w:afterAutospacing="0"/>
      </w:pPr>
      <w:r>
        <w:rPr>
          <w:rFonts w:ascii="Georgia" w:hAnsi="Georgia" w:cs="Georgia" w:eastAsia="Georgia"/>
          <w:color w:val="222222"/>
          <w:sz w:val="22"/>
          <w:szCs w:val="22"/>
        </w:rPr>
        <w:t>2 farms earning DivX.</w:t>
      </w:r>
    </w:p>
    <w:p>
      <w:pPr>
        <w:pStyle w:val="P9"/>
        <w:numPr>
          <w:ilvl w:val="0"/>
          <w:numId w:val="2"/>
        </w:numPr>
        <w:spacing w:lineRule="auto" w:line="290" w:after="100" w:beforeAutospacing="0" w:afterAutospacing="0"/>
      </w:pPr>
      <w:r>
        <w:rPr>
          <w:rFonts w:ascii="Georgia" w:hAnsi="Georgia" w:cs="Georgia" w:eastAsia="Georgia"/>
          <w:color w:val="222222"/>
          <w:sz w:val="22"/>
          <w:szCs w:val="22"/>
        </w:rPr>
        <w:t>8 to 10 farms earning GSX.</w:t>
      </w:r>
    </w:p>
    <w:p>
      <w:pPr>
        <w:spacing w:lineRule="auto" w:line="300" w:after="160" w:beforeAutospacing="0" w:afterAutospacing="0"/>
      </w:pPr>
      <w:r>
        <w:rPr>
          <w:rFonts w:ascii="Georgia" w:hAnsi="Georgia" w:cs="Georgia" w:eastAsia="Georgia"/>
          <w:color w:val="222222"/>
          <w:sz w:val="22"/>
          <w:szCs w:val="22"/>
        </w:rPr>
        <w:t>Farms serve a dual purpose: they distribute ecosystem tokens to participants and deepen liquidity across pairs, which in turn makes the buy and burn and reflection mechanics more effective.</w:t>
      </w:r>
    </w:p>
    <w:p>
      <w:pPr>
        <w:spacing w:lineRule="auto" w:line="300" w:after="160" w:beforeAutospacing="0" w:afterAutospacing="0"/>
      </w:pPr>
      <w:r>
        <w:rPr>
          <w:rFonts w:ascii="Georgia" w:hAnsi="Georgia" w:cs="Georgia" w:eastAsia="Georgia"/>
          <w:b w:val="1"/>
          <w:bCs w:val="1"/>
          <w:color w:val="222222"/>
          <w:sz w:val="22"/>
          <w:szCs w:val="22"/>
        </w:rPr>
        <w:t>Reward summary:</w:t>
      </w:r>
    </w:p>
    <w:tbl>
      <w:tblPr>
        <w:tblW w:w="780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left w:w="10" w:type="dxa"/>
          <w:right w:w="10" w:type="dxa"/>
        </w:tblCellMar>
      </w:tblPr>
      <w:tblGrid>
        <w:gridCol w:w="3600"/>
        <w:gridCol w:w="4200"/>
      </w:tblGrid>
      <w:tr>
        <w:trPr>
          <w:tblHeader/>
        </w:trPr>
        <w:tc>
          <w:tcPr>
            <w:tcW w:w="36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1F3550"/>
            <w:tcMar>
              <w:top w:w="90" w:type="dxa"/>
              <w:left w:w="140" w:type="dxa"/>
              <w:bottom w:w="90" w:type="dxa"/>
              <w:right w:w="140" w:type="dxa"/>
            </w:tcMar>
          </w:tcPr>
          <w:p>
            <w:r>
              <w:rPr>
                <w:rFonts w:ascii="Helvetica" w:hAnsi="Helvetica" w:cs="Helvetica" w:eastAsia="Helvetica"/>
                <w:b w:val="1"/>
                <w:bCs w:val="1"/>
                <w:color w:val="FFFFFF"/>
                <w:sz w:val="21"/>
                <w:szCs w:val="21"/>
              </w:rPr>
              <w:t>Position</w:t>
            </w:r>
          </w:p>
        </w:tc>
        <w:tc>
          <w:tcPr>
            <w:tcW w:w="4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1F3550"/>
            <w:tcMar>
              <w:top w:w="90" w:type="dxa"/>
              <w:left w:w="140" w:type="dxa"/>
              <w:bottom w:w="90" w:type="dxa"/>
              <w:right w:w="140" w:type="dxa"/>
            </w:tcMar>
          </w:tcPr>
          <w:p>
            <w:r>
              <w:rPr>
                <w:rFonts w:ascii="Helvetica" w:hAnsi="Helvetica" w:cs="Helvetica" w:eastAsia="Helvetica"/>
                <w:b w:val="1"/>
                <w:bCs w:val="1"/>
                <w:color w:val="FFFFFF"/>
                <w:sz w:val="21"/>
                <w:szCs w:val="21"/>
              </w:rPr>
              <w:t>Reward Asset</w:t>
            </w:r>
          </w:p>
        </w:tc>
      </w:tr>
      <w:tr>
        <w:tc>
          <w:tcPr>
            <w:tcW w:w="36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NFT staking</w:t>
            </w:r>
          </w:p>
        </w:tc>
        <w:tc>
          <w:tcPr>
            <w:tcW w:w="4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uPLS</w:t>
            </w:r>
          </w:p>
        </w:tc>
      </w:tr>
      <w:tr>
        <w:tc>
          <w:tcPr>
            <w:tcW w:w="36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GSX single stake</w:t>
            </w:r>
          </w:p>
        </w:tc>
        <w:tc>
          <w:tcPr>
            <w:tcW w:w="4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PLSX</w:t>
            </w:r>
          </w:p>
        </w:tc>
      </w:tr>
      <w:tr>
        <w:tc>
          <w:tcPr>
            <w:tcW w:w="36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Farms</w:t>
            </w:r>
          </w:p>
        </w:tc>
        <w:tc>
          <w:tcPr>
            <w:tcW w:w="4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FFFFF"/>
            <w:tcMar>
              <w:top w:w="80" w:type="dxa"/>
              <w:left w:w="140" w:type="dxa"/>
              <w:bottom w:w="80" w:type="dxa"/>
              <w:right w:w="140" w:type="dxa"/>
            </w:tcMar>
          </w:tcPr>
          <w:p>
            <w:r>
              <w:rPr>
                <w:rFonts w:ascii="Georgia" w:hAnsi="Georgia" w:cs="Georgia" w:eastAsia="Georgia"/>
                <w:b w:val="0"/>
                <w:bCs w:val="0"/>
                <w:color w:val="222222"/>
                <w:sz w:val="21"/>
                <w:szCs w:val="21"/>
              </w:rPr>
              <w:t>DistroX / DivX / GSX</w:t>
            </w:r>
          </w:p>
        </w:tc>
      </w:tr>
      <w:tr>
        <w:tc>
          <w:tcPr>
            <w:tcW w:w="36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Holding any of the four tokens</w:t>
            </w:r>
          </w:p>
        </w:tc>
        <w:tc>
          <w:tcPr>
            <w:tcW w:w="4200" w:type="dxa"/>
            <w:tcBorders>
              <w:top w:val="single" w:sz="4" w:space="0" w:shadow="0" w:frame="0" w:color="C9D1DB"/>
              <w:left w:val="single" w:sz="4" w:space="0" w:shadow="0" w:frame="0" w:color="C9D1DB"/>
              <w:bottom w:val="single" w:sz="4" w:space="0" w:shadow="0" w:frame="0" w:color="C9D1DB"/>
              <w:right w:val="single" w:sz="4" w:space="0" w:shadow="0" w:frame="0" w:color="C9D1DB"/>
            </w:tcBorders>
            <w:shd w:val="clear" w:color="auto" w:fill="F2F4F7"/>
            <w:tcMar>
              <w:top w:w="80" w:type="dxa"/>
              <w:left w:w="140" w:type="dxa"/>
              <w:bottom w:w="80" w:type="dxa"/>
              <w:right w:w="140" w:type="dxa"/>
            </w:tcMar>
          </w:tcPr>
          <w:p>
            <w:r>
              <w:rPr>
                <w:rFonts w:ascii="Georgia" w:hAnsi="Georgia" w:cs="Georgia" w:eastAsia="Georgia"/>
                <w:b w:val="0"/>
                <w:bCs w:val="0"/>
                <w:color w:val="222222"/>
                <w:sz w:val="21"/>
                <w:szCs w:val="21"/>
              </w:rPr>
              <w:t>Reflections from GSX transactions</w:t>
            </w:r>
          </w:p>
        </w:tc>
      </w:tr>
    </w:tbl>
    <w:p>
      <w:pPr>
        <w:spacing w:after="120" w:beforeAutospacing="0" w:afterAutospacing="0"/>
      </w:pPr>
    </w:p>
    <w:p>
      <w:pPr>
        <w:pStyle w:val="P2"/>
        <w:spacing w:before="360" w:after="200" w:beforeAutospacing="0" w:afterAutospacing="0"/>
      </w:pPr>
      <w:r>
        <w:rPr>
          <w:rFonts w:ascii="Helvetica" w:hAnsi="Helvetica" w:cs="Helvetica" w:eastAsia="Helvetica"/>
          <w:b w:val="1"/>
          <w:bCs w:val="1"/>
          <w:color w:val="1F3550"/>
          <w:sz w:val="32"/>
          <w:szCs w:val="32"/>
        </w:rPr>
        <w:t>7. Deflationary Mechanisms and Value Flows</w:t>
      </w:r>
    </w:p>
    <w:p>
      <w:pPr>
        <w:spacing w:lineRule="auto" w:line="300" w:after="160" w:beforeAutospacing="0" w:afterAutospacing="0"/>
      </w:pPr>
      <w:r>
        <w:rPr>
          <w:rFonts w:ascii="Georgia" w:hAnsi="Georgia" w:cs="Georgia" w:eastAsia="Georgia"/>
          <w:color w:val="222222"/>
          <w:sz w:val="22"/>
          <w:szCs w:val="22"/>
        </w:rPr>
        <w:t>Deflation in the CashX ecosystem is structural, not discretionary. Supply reduction is funded at three layers: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At mint (one time per NFT).</w:t>
      </w:r>
      <w:r>
        <w:rPr>
          <w:rFonts w:ascii="Georgia" w:hAnsi="Georgia" w:cs="Georgia" w:eastAsia="Georgia"/>
          <w:color w:val="222222"/>
          <w:sz w:val="22"/>
          <w:szCs w:val="22"/>
        </w:rPr>
        <w:t xml:space="preserve"> 333,333 PLS each buys and burns CashX, DistroX, and DivX, for 999,999 PLS of burn pressure per package.</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On every GSX transaction (continuous).</w:t>
      </w:r>
      <w:r>
        <w:rPr>
          <w:rFonts w:ascii="Georgia" w:hAnsi="Georgia" w:cs="Georgia" w:eastAsia="Georgia"/>
          <w:color w:val="222222"/>
          <w:sz w:val="22"/>
          <w:szCs w:val="22"/>
        </w:rPr>
        <w:t xml:space="preserve"> 0.5% each buys and burns CashX, DistroX, DivX, and GSX, so 2% of every transaction permanently removes supply across all four tokens.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From the GSX treasury (ongoing).</w:t>
      </w:r>
      <w:r>
        <w:rPr>
          <w:rFonts w:ascii="Georgia" w:hAnsi="Georgia" w:cs="Georgia" w:eastAsia="Georgia"/>
          <w:color w:val="222222"/>
          <w:sz w:val="22"/>
          <w:szCs w:val="22"/>
        </w:rPr>
        <w:t xml:space="preserve"> 25% of the treasury is dedicated to buy and burns.</w:t>
      </w:r>
    </w:p>
    <w:p>
      <w:pPr>
        <w:spacing w:lineRule="auto" w:line="300" w:after="160" w:beforeAutospacing="0" w:afterAutospacing="0"/>
      </w:pPr>
      <w:r>
        <w:rPr>
          <w:rFonts w:ascii="Georgia" w:hAnsi="Georgia" w:cs="Georgia" w:eastAsia="Georgia"/>
          <w:b w:val="1"/>
          <w:bCs w:val="1"/>
          <w:color w:val="222222"/>
          <w:sz w:val="22"/>
          <w:szCs w:val="22"/>
        </w:rPr>
        <w:t>The self-reinforcing loop:</w:t>
      </w:r>
    </w:p>
    <w:p>
      <w:pPr>
        <w:pStyle w:val="P9"/>
        <w:numPr>
          <w:ilvl w:val="0"/>
          <w:numId w:val="3"/>
        </w:numPr>
        <w:spacing w:lineRule="auto" w:line="290" w:after="100" w:beforeAutospacing="0" w:afterAutospacing="0"/>
      </w:pPr>
      <w:r>
        <w:rPr>
          <w:rFonts w:ascii="Georgia" w:hAnsi="Georgia" w:cs="Georgia" w:eastAsia="Georgia"/>
          <w:color w:val="222222"/>
          <w:sz w:val="22"/>
          <w:szCs w:val="22"/>
        </w:rPr>
        <w:t>NFT mints burn supply and capitalize treasuries.</w:t>
      </w:r>
    </w:p>
    <w:p>
      <w:pPr>
        <w:pStyle w:val="P9"/>
        <w:numPr>
          <w:ilvl w:val="0"/>
          <w:numId w:val="3"/>
        </w:numPr>
        <w:spacing w:lineRule="auto" w:line="290" w:after="100" w:beforeAutospacing="0" w:afterAutospacing="0"/>
      </w:pPr>
      <w:r>
        <w:rPr>
          <w:rFonts w:ascii="Georgia" w:hAnsi="Georgia" w:cs="Georgia" w:eastAsia="Georgia"/>
          <w:color w:val="222222"/>
          <w:sz w:val="22"/>
          <w:szCs w:val="22"/>
        </w:rPr>
        <w:t>Treasuries pay staking rewards, which incentivize holding and staking.</w:t>
      </w:r>
    </w:p>
    <w:p>
      <w:pPr>
        <w:pStyle w:val="P9"/>
        <w:numPr>
          <w:ilvl w:val="0"/>
          <w:numId w:val="3"/>
        </w:numPr>
        <w:spacing w:lineRule="auto" w:line="290" w:after="100" w:beforeAutospacing="0" w:afterAutospacing="0"/>
      </w:pPr>
      <w:r>
        <w:rPr>
          <w:rFonts w:ascii="Georgia" w:hAnsi="Georgia" w:cs="Georgia" w:eastAsia="Georgia"/>
          <w:color w:val="222222"/>
          <w:sz w:val="22"/>
          <w:szCs w:val="22"/>
        </w:rPr>
        <w:t>GSX usage taxes 8%, burning more supply, reflecting to holders, and refilling the treasury.</w:t>
      </w:r>
    </w:p>
    <w:p>
      <w:pPr>
        <w:pStyle w:val="P9"/>
        <w:numPr>
          <w:ilvl w:val="0"/>
          <w:numId w:val="3"/>
        </w:numPr>
        <w:spacing w:lineRule="auto" w:line="290" w:after="100" w:beforeAutospacing="0" w:afterAutospacing="0"/>
      </w:pPr>
      <w:r>
        <w:rPr>
          <w:rFonts w:ascii="Georgia" w:hAnsi="Georgia" w:cs="Georgia" w:eastAsia="Georgia"/>
          <w:color w:val="222222"/>
          <w:sz w:val="22"/>
          <w:szCs w:val="22"/>
        </w:rPr>
        <w:t>Compounding streams grow the treasuries, increasing future rewards.</w:t>
      </w:r>
    </w:p>
    <w:p>
      <w:pPr>
        <w:pStyle w:val="P9"/>
        <w:numPr>
          <w:ilvl w:val="0"/>
          <w:numId w:val="3"/>
        </w:numPr>
        <w:spacing w:lineRule="auto" w:line="290" w:after="100" w:beforeAutospacing="0" w:afterAutospacing="0"/>
      </w:pPr>
      <w:r>
        <w:rPr>
          <w:rFonts w:ascii="Georgia" w:hAnsi="Georgia" w:cs="Georgia" w:eastAsia="Georgia"/>
          <w:color w:val="222222"/>
          <w:sz w:val="22"/>
          <w:szCs w:val="22"/>
        </w:rPr>
        <w:t>Stronger rewards attract participation, driving further mints and transactions, returning to step 1.</w:t>
      </w:r>
    </w:p>
    <w:p>
      <w:pPr>
        <w:spacing w:lineRule="auto" w:line="300" w:after="160" w:beforeAutospacing="0" w:afterAutospacing="0"/>
      </w:pPr>
      <w:r>
        <w:rPr>
          <w:rFonts w:ascii="Georgia" w:hAnsi="Georgia" w:cs="Georgia" w:eastAsia="Georgia"/>
          <w:color w:val="222222"/>
          <w:sz w:val="22"/>
          <w:szCs w:val="22"/>
        </w:rPr>
        <w:t>Each cycle shrinks supply and grows the revenue base. Value entering the ecosystem is either destroyed through burns, distributed through reflections and revenue share, or retained and compounded within the treasuries.</w:t>
      </w:r>
    </w:p>
    <w:p>
      <w:pPr>
        <w:pStyle w:val="P2"/>
        <w:spacing w:before="360" w:after="200" w:beforeAutospacing="0" w:afterAutospacing="0"/>
      </w:pPr>
      <w:r>
        <w:rPr>
          <w:rFonts w:ascii="Helvetica" w:hAnsi="Helvetica" w:cs="Helvetica" w:eastAsia="Helvetica"/>
          <w:b w:val="1"/>
          <w:bCs w:val="1"/>
          <w:color w:val="1F3550"/>
          <w:sz w:val="32"/>
          <w:szCs w:val="32"/>
        </w:rPr>
        <w:t>8. Roadmap and Key Milestones</w:t>
      </w:r>
    </w:p>
    <w:p>
      <w:pPr>
        <w:spacing w:lineRule="auto" w:line="300" w:after="160" w:beforeAutospacing="0" w:afterAutospacing="0"/>
      </w:pPr>
      <w:r>
        <w:rPr>
          <w:rFonts w:ascii="Georgia" w:hAnsi="Georgia" w:cs="Georgia" w:eastAsia="Georgia"/>
          <w:b w:val="1"/>
          <w:bCs w:val="1"/>
          <w:color w:val="222222"/>
          <w:sz w:val="22"/>
          <w:szCs w:val="22"/>
        </w:rPr>
        <w:t>Launch</w:t>
      </w:r>
    </w:p>
    <w:p>
      <w:pPr>
        <w:pStyle w:val="P9"/>
        <w:numPr>
          <w:ilvl w:val="0"/>
          <w:numId w:val="2"/>
        </w:numPr>
        <w:spacing w:lineRule="auto" w:line="290" w:after="100" w:beforeAutospacing="0" w:afterAutospacing="0"/>
      </w:pPr>
      <w:r>
        <w:rPr>
          <w:rFonts w:ascii="Georgia" w:hAnsi="Georgia" w:cs="Georgia" w:eastAsia="Georgia"/>
          <w:color w:val="222222"/>
          <w:sz w:val="22"/>
          <w:szCs w:val="22"/>
        </w:rPr>
        <w:t>GSX token goes live with the full 8% tax structure.</w:t>
      </w:r>
    </w:p>
    <w:p>
      <w:pPr>
        <w:pStyle w:val="P9"/>
        <w:numPr>
          <w:ilvl w:val="0"/>
          <w:numId w:val="2"/>
        </w:numPr>
        <w:spacing w:lineRule="auto" w:line="290" w:after="100" w:beforeAutospacing="0" w:afterAutospacing="0"/>
      </w:pPr>
      <w:r>
        <w:rPr>
          <w:rFonts w:ascii="Georgia" w:hAnsi="Georgia" w:cs="Georgia" w:eastAsia="Georgia"/>
          <w:color w:val="222222"/>
          <w:sz w:val="22"/>
          <w:szCs w:val="22"/>
        </w:rPr>
        <w:t>NFT minting opens: 110 DAI + 1.5M PLS per package, with the $30 GSX airdrop at 5 PLS per GSX at mint completion.</w:t>
      </w:r>
    </w:p>
    <w:p>
      <w:pPr>
        <w:pStyle w:val="P9"/>
        <w:numPr>
          <w:ilvl w:val="0"/>
          <w:numId w:val="2"/>
        </w:numPr>
        <w:spacing w:lineRule="auto" w:line="290" w:after="100" w:beforeAutospacing="0" w:afterAutospacing="0"/>
      </w:pPr>
      <w:r>
        <w:rPr>
          <w:rFonts w:ascii="Georgia" w:hAnsi="Georgia" w:cs="Georgia" w:eastAsia="Georgia"/>
          <w:color w:val="222222"/>
          <w:sz w:val="22"/>
          <w:szCs w:val="22"/>
        </w:rPr>
        <w:t>All farms launch with the project: 2 DistroX, 2 DivX, and 8 to 10 GSX farms.</w:t>
      </w:r>
    </w:p>
    <w:p>
      <w:pPr>
        <w:spacing w:lineRule="auto" w:line="300" w:after="160" w:beforeAutospacing="0" w:afterAutospacing="0"/>
      </w:pPr>
      <w:r>
        <w:rPr>
          <w:rFonts w:ascii="Georgia" w:hAnsi="Georgia" w:cs="Georgia" w:eastAsia="Georgia"/>
          <w:b w:val="1"/>
          <w:bCs w:val="1"/>
          <w:color w:val="222222"/>
          <w:sz w:val="22"/>
          <w:szCs w:val="22"/>
        </w:rPr>
        <w:t>Launch + 48 hours</w:t>
      </w:r>
    </w:p>
    <w:p>
      <w:pPr>
        <w:pStyle w:val="P9"/>
        <w:numPr>
          <w:ilvl w:val="0"/>
          <w:numId w:val="2"/>
        </w:numPr>
        <w:spacing w:lineRule="auto" w:line="290" w:after="100" w:beforeAutospacing="0" w:afterAutospacing="0"/>
      </w:pPr>
      <w:r>
        <w:rPr>
          <w:rFonts w:ascii="Georgia" w:hAnsi="Georgia" w:cs="Georgia" w:eastAsia="Georgia"/>
          <w:color w:val="222222"/>
          <w:sz w:val="22"/>
          <w:szCs w:val="22"/>
        </w:rPr>
        <w:t>Revenue sharing begins for stakers.</w:t>
      </w:r>
    </w:p>
    <w:p>
      <w:pPr>
        <w:spacing w:lineRule="auto" w:line="300" w:after="160" w:beforeAutospacing="0" w:afterAutospacing="0"/>
      </w:pPr>
      <w:r>
        <w:rPr>
          <w:rFonts w:ascii="Georgia" w:hAnsi="Georgia" w:cs="Georgia" w:eastAsia="Georgia"/>
          <w:b w:val="1"/>
          <w:bCs w:val="1"/>
          <w:color w:val="222222"/>
          <w:sz w:val="22"/>
          <w:szCs w:val="22"/>
        </w:rPr>
        <w:t>Weeks 1 to 3</w:t>
      </w:r>
    </w:p>
    <w:p>
      <w:pPr>
        <w:pStyle w:val="P9"/>
        <w:numPr>
          <w:ilvl w:val="0"/>
          <w:numId w:val="2"/>
        </w:numPr>
        <w:spacing w:lineRule="auto" w:line="290" w:after="100" w:beforeAutospacing="0" w:afterAutospacing="0"/>
      </w:pPr>
      <w:r>
        <w:rPr>
          <w:rFonts w:ascii="Georgia" w:hAnsi="Georgia" w:cs="Georgia" w:eastAsia="Georgia"/>
          <w:color w:val="222222"/>
          <w:sz w:val="22"/>
          <w:szCs w:val="22"/>
        </w:rPr>
        <w:t>Full treasury deployment completed.</w:t>
      </w:r>
    </w:p>
    <w:p>
      <w:pPr>
        <w:spacing w:lineRule="auto" w:line="300" w:after="160" w:beforeAutospacing="0" w:afterAutospacing="0"/>
      </w:pPr>
      <w:r>
        <w:rPr>
          <w:rFonts w:ascii="Georgia" w:hAnsi="Georgia" w:cs="Georgia" w:eastAsia="Georgia"/>
          <w:b w:val="1"/>
          <w:bCs w:val="1"/>
          <w:color w:val="222222"/>
          <w:sz w:val="22"/>
          <w:szCs w:val="22"/>
        </w:rPr>
        <w:t>Days 1 to 185 (approximately)</w:t>
      </w:r>
    </w:p>
    <w:p>
      <w:pPr>
        <w:pStyle w:val="P9"/>
        <w:numPr>
          <w:ilvl w:val="0"/>
          <w:numId w:val="2"/>
        </w:numPr>
        <w:spacing w:lineRule="auto" w:line="290" w:after="100" w:beforeAutospacing="0" w:afterAutospacing="0"/>
      </w:pPr>
      <w:r>
        <w:rPr>
          <w:rFonts w:ascii="Georgia" w:hAnsi="Georgia" w:cs="Georgia" w:eastAsia="Georgia"/>
          <w:color w:val="222222"/>
          <w:sz w:val="22"/>
          <w:szCs w:val="22"/>
        </w:rPr>
        <w:t>APR ramps to full throttle as treasuries build and compound.</w:t>
      </w:r>
    </w:p>
    <w:p>
      <w:pPr>
        <w:spacing w:lineRule="auto" w:line="300" w:after="160" w:beforeAutospacing="0" w:afterAutospacing="0"/>
      </w:pPr>
      <w:r>
        <w:rPr>
          <w:rFonts w:ascii="Georgia" w:hAnsi="Georgia" w:cs="Georgia" w:eastAsia="Georgia"/>
          <w:b w:val="1"/>
          <w:bCs w:val="1"/>
          <w:color w:val="222222"/>
          <w:sz w:val="22"/>
          <w:szCs w:val="22"/>
        </w:rPr>
        <w:t>The PLS 10x Trigger</w:t>
      </w:r>
    </w:p>
    <w:p>
      <w:pPr>
        <w:pStyle w:val="P9"/>
        <w:numPr>
          <w:ilvl w:val="0"/>
          <w:numId w:val="2"/>
        </w:numPr>
        <w:spacing w:lineRule="auto" w:line="290" w:after="100" w:beforeAutospacing="0" w:afterAutospacing="0"/>
      </w:pPr>
      <w:r>
        <w:rPr>
          <w:rFonts w:ascii="Georgia" w:hAnsi="Georgia" w:cs="Georgia" w:eastAsia="Georgia"/>
          <w:color w:val="222222"/>
          <w:sz w:val="22"/>
          <w:szCs w:val="22"/>
        </w:rPr>
        <w:t>When PLS reaches 10x, all four coins and the NFTs convert their revenue share to DAI, shifting holder income to a stable asset at the point of maximum ecosystem strength.</w:t>
      </w:r>
    </w:p>
    <w:p>
      <w:pPr>
        <w:spacing w:lineRule="auto" w:line="300" w:after="160" w:beforeAutospacing="0" w:afterAutospacing="0"/>
      </w:pPr>
      <w:r>
        <w:rPr>
          <w:rFonts w:ascii="Georgia" w:hAnsi="Georgia" w:cs="Georgia" w:eastAsia="Georgia"/>
          <w:b w:val="1"/>
          <w:bCs w:val="1"/>
          <w:color w:val="222222"/>
          <w:sz w:val="22"/>
          <w:szCs w:val="22"/>
        </w:rPr>
        <w:t>Beyond</w:t>
      </w:r>
    </w:p>
    <w:p>
      <w:pPr>
        <w:pStyle w:val="P9"/>
        <w:numPr>
          <w:ilvl w:val="0"/>
          <w:numId w:val="2"/>
        </w:numPr>
        <w:spacing w:lineRule="auto" w:line="290" w:after="100" w:beforeAutospacing="0" w:afterAutospacing="0"/>
      </w:pPr>
      <w:r>
        <w:rPr>
          <w:rFonts w:ascii="Georgia" w:hAnsi="Georgia" w:cs="Georgia" w:eastAsia="Georgia"/>
          <w:color w:val="222222"/>
          <w:sz w:val="22"/>
          <w:szCs w:val="22"/>
        </w:rPr>
        <w:t>No new tokens and no new products. This is the final project in the CashX ecosystem, and all focus shifts to the exponential growth of the existing components: deeper liquidity, larger treasuries, greater burn totals, and rising revenue share.</w:t>
      </w:r>
    </w:p>
    <w:p>
      <w:pPr>
        <w:pStyle w:val="P2"/>
        <w:spacing w:before="360" w:after="200" w:beforeAutospacing="0" w:afterAutospacing="0"/>
      </w:pPr>
      <w:r>
        <w:rPr>
          <w:rFonts w:ascii="Helvetica" w:hAnsi="Helvetica" w:cs="Helvetica" w:eastAsia="Helvetica"/>
          <w:b w:val="1"/>
          <w:bCs w:val="1"/>
          <w:color w:val="1F3550"/>
          <w:sz w:val="32"/>
          <w:szCs w:val="32"/>
        </w:rPr>
        <w:t>9. Conclusion</w:t>
      </w:r>
    </w:p>
    <w:p>
      <w:pPr>
        <w:spacing w:lineRule="auto" w:line="300" w:after="160" w:beforeAutospacing="0" w:afterAutospacing="0"/>
      </w:pPr>
      <w:r>
        <w:rPr>
          <w:rFonts w:ascii="Georgia" w:hAnsi="Georgia" w:cs="Georgia" w:eastAsia="Georgia"/>
          <w:color w:val="222222"/>
          <w:sz w:val="22"/>
          <w:szCs w:val="22"/>
        </w:rPr>
        <w:t>The CashX ecosystem is intentionally finished: four tokens, one NFT collection, five treasuries holding approximately $110,000 USD combined, and a fixed set of rules connecting them.</w:t>
      </w:r>
    </w:p>
    <w:p>
      <w:pPr>
        <w:spacing w:lineRule="auto" w:line="300" w:after="160" w:beforeAutospacing="0" w:afterAutospacing="0"/>
      </w:pPr>
      <w:r>
        <w:rPr>
          <w:rFonts w:ascii="Georgia" w:hAnsi="Georgia" w:cs="Georgia" w:eastAsia="Georgia"/>
          <w:color w:val="222222"/>
          <w:sz w:val="22"/>
          <w:szCs w:val="22"/>
        </w:rPr>
        <w:t>Its design rests on three principles:</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Circular value flow.</w:t>
      </w:r>
      <w:r>
        <w:rPr>
          <w:rFonts w:ascii="Georgia" w:hAnsi="Georgia" w:cs="Georgia" w:eastAsia="Georgia"/>
          <w:color w:val="222222"/>
          <w:sz w:val="22"/>
          <w:szCs w:val="22"/>
        </w:rPr>
        <w:t xml:space="preserve"> Capital that enters through NFT mints and GSX transactions is burned, reflected, or compounded. It works for holders rather than exiting the system.</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Sustainable revenue.</w:t>
      </w:r>
      <w:r>
        <w:rPr>
          <w:rFonts w:ascii="Georgia" w:hAnsi="Georgia" w:cs="Georgia" w:eastAsia="Georgia"/>
          <w:color w:val="222222"/>
          <w:sz w:val="22"/>
          <w:szCs w:val="22"/>
        </w:rPr>
        <w:t xml:space="preserve"> Both project treasuries compound a portion of everything they receive, so the yield base grows over the 185-day ramp and beyond.</w:t>
      </w:r>
    </w:p>
    <w:p>
      <w:pPr>
        <w:pStyle w:val="P9"/>
        <w:numPr>
          <w:ilvl w:val="0"/>
          <w:numId w:val="2"/>
        </w:numPr>
        <w:spacing w:lineRule="auto" w:line="290" w:after="100" w:beforeAutospacing="0" w:afterAutospacing="0"/>
      </w:pPr>
      <w:r>
        <w:rPr>
          <w:rFonts w:ascii="Georgia" w:hAnsi="Georgia" w:cs="Georgia" w:eastAsia="Georgia"/>
          <w:b w:val="1"/>
          <w:bCs w:val="1"/>
          <w:color w:val="222222"/>
          <w:sz w:val="22"/>
          <w:szCs w:val="22"/>
        </w:rPr>
        <w:t>Structural deflation.</w:t>
      </w:r>
      <w:r>
        <w:rPr>
          <w:rFonts w:ascii="Georgia" w:hAnsi="Georgia" w:cs="Georgia" w:eastAsia="Georgia"/>
          <w:color w:val="222222"/>
          <w:sz w:val="22"/>
          <w:szCs w:val="22"/>
        </w:rPr>
        <w:t xml:space="preserve"> Burns are hard coded into mints, transactions, and treasury operations across all four tokens.</w:t>
      </w:r>
    </w:p>
    <w:p>
      <w:pPr>
        <w:spacing w:lineRule="auto" w:line="300" w:after="160" w:beforeAutospacing="0" w:afterAutospacing="0"/>
      </w:pPr>
      <w:r>
        <w:rPr>
          <w:rFonts w:ascii="Georgia" w:hAnsi="Georgia" w:cs="Georgia" w:eastAsia="Georgia"/>
          <w:color w:val="222222"/>
          <w:sz w:val="22"/>
          <w:szCs w:val="22"/>
        </w:rPr>
        <w:t>With the GSX launch, building is complete. What remains is compounding: growing the treasuries, deepening the farms, reducing supply, and, at the PLS 10x milestone, delivering revenue share in DAI to every corner of the ecosystem.</w:t>
      </w:r>
    </w:p>
    <w:p>
      <w:pPr>
        <w:pBdr>
          <w:top w:val="single" w:sz="6" w:space="8" w:shadow="0" w:frame="0" w:color="C9D1DB"/>
          <w:left w:val="none" w:sz="0" w:space="0" w:shadow="0" w:frame="0" w:color="auto"/>
          <w:bottom w:val="none" w:sz="0" w:space="0" w:shadow="0" w:frame="0" w:color="auto"/>
          <w:right w:val="none" w:sz="0" w:space="0" w:shadow="0" w:frame="0" w:color="auto"/>
          <w:between w:val="none" w:sz="0" w:space="0" w:shadow="0" w:frame="0" w:color="auto"/>
        </w:pBdr>
        <w:spacing w:before="300" w:beforeAutospacing="0" w:afterAutospacing="0"/>
      </w:pPr>
      <w:r>
        <w:rPr>
          <w:rFonts w:ascii="Georgia" w:hAnsi="Georgia" w:cs="Georgia" w:eastAsia="Georgia"/>
          <w:i w:val="1"/>
          <w:iCs w:val="1"/>
          <w:color w:val="595959"/>
          <w:sz w:val="19"/>
          <w:szCs w:val="19"/>
        </w:rPr>
        <w:t>This document describes protocol mechanics as designed. It is not financial advice. Participants should understand all mechanics before engaging with the ecosystem.</w:t>
      </w:r>
    </w:p>
    <w:sectPr>
      <w:type w:val="nextPage"/>
      <w:pgMar w:left="1440" w:right="1440" w:top="1440" w:bottom="1440" w:header="708" w:footer="708" w:gutter="0"/>
      <w:pgNumType w:chapSep="period"/>
    </w:sectPr>
  </w:body>
</w:document>
</file>

<file path=word/numbering.xml><?xml version="1.0" encoding="utf-8"?>
<w:numbering xmlns:w="http://schemas.openxmlformats.org/wordprocessingml/2006/main">
  <w:abstractNum w:abstractNumId="0">
    <w:nsid w:val="34B6B746"/>
    <w:multiLevelType w:val="multilevel"/>
    <w:lvl w:ilvl="0">
      <w:start w:val="1"/>
      <w:numFmt w:val="bullet"/>
      <w:suff w:val="tab"/>
      <w:lvlText w:val="●"/>
      <w:lvlJc w:val="left"/>
      <w:pPr>
        <w:ind w:hanging="360" w:left="720"/>
      </w:pPr>
      <w:rPr/>
    </w:lvl>
    <w:lvl w:ilvl="1">
      <w:start w:val="1"/>
      <w:numFmt w:val="bullet"/>
      <w:suff w:val="tab"/>
      <w:lvlText w:val="○"/>
      <w:lvlJc w:val="left"/>
      <w:pPr>
        <w:ind w:hanging="360" w:left="1440"/>
      </w:pPr>
      <w:rPr/>
    </w:lvl>
    <w:lvl w:ilvl="2">
      <w:start w:val="1"/>
      <w:numFmt w:val="bullet"/>
      <w:suff w:val="tab"/>
      <w:lvlText w:val="■"/>
      <w:lvlJc w:val="left"/>
      <w:pPr>
        <w:ind w:hanging="360" w:left="2160"/>
      </w:pPr>
      <w:rPr/>
    </w:lvl>
    <w:lvl w:ilvl="3">
      <w:start w:val="1"/>
      <w:numFmt w:val="bullet"/>
      <w:suff w:val="tab"/>
      <w:lvlText w:val="●"/>
      <w:lvlJc w:val="left"/>
      <w:pPr>
        <w:ind w:hanging="360" w:left="2880"/>
      </w:pPr>
      <w:rPr/>
    </w:lvl>
    <w:lvl w:ilvl="4">
      <w:start w:val="1"/>
      <w:numFmt w:val="bullet"/>
      <w:suff w:val="tab"/>
      <w:lvlText w:val="○"/>
      <w:lvlJc w:val="left"/>
      <w:pPr>
        <w:ind w:hanging="360" w:left="3600"/>
      </w:pPr>
      <w:rPr/>
    </w:lvl>
    <w:lvl w:ilvl="5">
      <w:start w:val="1"/>
      <w:numFmt w:val="bullet"/>
      <w:suff w:val="tab"/>
      <w:lvlText w:val="■"/>
      <w:lvlJc w:val="left"/>
      <w:pPr>
        <w:ind w:hanging="360" w:left="4320"/>
      </w:pPr>
      <w:rPr/>
    </w:lvl>
    <w:lvl w:ilvl="6">
      <w:start w:val="1"/>
      <w:numFmt w:val="bullet"/>
      <w:suff w:val="tab"/>
      <w:lvlText w:val="●"/>
      <w:lvlJc w:val="left"/>
      <w:pPr>
        <w:ind w:hanging="360" w:left="5040"/>
      </w:pPr>
      <w:rPr/>
    </w:lvl>
    <w:lvl w:ilvl="7">
      <w:start w:val="1"/>
      <w:numFmt w:val="bullet"/>
      <w:suff w:val="tab"/>
      <w:lvlText w:val="●"/>
      <w:lvlJc w:val="left"/>
      <w:pPr>
        <w:ind w:hanging="360" w:left="5760"/>
      </w:pPr>
      <w:rPr/>
    </w:lvl>
    <w:lvl w:ilvl="8">
      <w:start w:val="1"/>
      <w:numFmt w:val="bullet"/>
      <w:suff w:val="tab"/>
      <w:lvlText w:val="●"/>
      <w:lvlJc w:val="left"/>
      <w:pPr>
        <w:ind w:hanging="360" w:left="6480"/>
      </w:pPr>
      <w:rPr/>
    </w:lvl>
  </w:abstractNum>
  <w:abstractNum w:abstractNumId="1">
    <w:nsid w:val="672E7A9B"/>
    <w:multiLevelType w:val="hybridMultilevel"/>
    <w:lvl w:ilvl="0">
      <w:start w:val="1"/>
      <w:numFmt w:val="bullet"/>
      <w:suff w:val="tab"/>
      <w:lvlText w:val="•"/>
      <w:lvlJc w:val="left"/>
      <w:pPr>
        <w:ind w:hanging="259" w:left="431"/>
      </w:pPr>
      <w:rPr/>
    </w:lvl>
    <w:lvl w:ilvl="1" w:tplc="7C08EFB5">
      <w:start w:val="1"/>
      <w:numFmt w:val="decimal"/>
      <w:suff w:val="tab"/>
      <w:lvlText w:val="%1."/>
      <w:lvlJc w:val="left"/>
      <w:pPr/>
      <w:rPr/>
    </w:lvl>
    <w:lvl w:ilvl="2" w:tplc="020D71F2">
      <w:start w:val="1"/>
      <w:numFmt w:val="decimal"/>
      <w:suff w:val="tab"/>
      <w:lvlText w:val="%1."/>
      <w:lvlJc w:val="left"/>
      <w:pPr/>
      <w:rPr/>
    </w:lvl>
    <w:lvl w:ilvl="3" w:tplc="702FADD6">
      <w:start w:val="1"/>
      <w:numFmt w:val="decimal"/>
      <w:suff w:val="tab"/>
      <w:lvlText w:val="%1."/>
      <w:lvlJc w:val="left"/>
      <w:pPr/>
      <w:rPr/>
    </w:lvl>
    <w:lvl w:ilvl="4" w:tplc="610F9263">
      <w:start w:val="1"/>
      <w:numFmt w:val="decimal"/>
      <w:suff w:val="tab"/>
      <w:lvlText w:val="%1."/>
      <w:lvlJc w:val="left"/>
      <w:pPr/>
      <w:rPr/>
    </w:lvl>
    <w:lvl w:ilvl="5" w:tplc="3FD3CDAF">
      <w:start w:val="1"/>
      <w:numFmt w:val="decimal"/>
      <w:suff w:val="tab"/>
      <w:lvlText w:val="%1."/>
      <w:lvlJc w:val="left"/>
      <w:pPr/>
      <w:rPr/>
    </w:lvl>
    <w:lvl w:ilvl="6" w:tplc="14D021F3">
      <w:start w:val="1"/>
      <w:numFmt w:val="decimal"/>
      <w:suff w:val="tab"/>
      <w:lvlText w:val="%1."/>
      <w:lvlJc w:val="left"/>
      <w:pPr/>
      <w:rPr/>
    </w:lvl>
    <w:lvl w:ilvl="7" w:tplc="45E1C071">
      <w:start w:val="1"/>
      <w:numFmt w:val="decimal"/>
      <w:suff w:val="tab"/>
      <w:lvlText w:val="%1."/>
      <w:lvlJc w:val="left"/>
      <w:pPr/>
      <w:rPr/>
    </w:lvl>
    <w:lvl w:ilvl="8" w:tplc="38DF4ACA">
      <w:start w:val="1"/>
      <w:numFmt w:val="decimal"/>
      <w:suff w:val="tab"/>
      <w:lvlText w:val="%1."/>
      <w:lvlJc w:val="left"/>
      <w:pPr/>
      <w:rPr/>
    </w:lvl>
  </w:abstractNum>
  <w:abstractNum w:abstractNumId="2">
    <w:nsid w:val="1ADAB0E3"/>
    <w:multiLevelType w:val="hybridMultilevel"/>
    <w:lvl w:ilvl="0">
      <w:start w:val="1"/>
      <w:numFmt w:val="decimal"/>
      <w:suff w:val="tab"/>
      <w:lvlText w:val="%1."/>
      <w:lvlJc w:val="left"/>
      <w:pPr>
        <w:ind w:hanging="288" w:left="460"/>
      </w:pPr>
      <w:rPr/>
    </w:lvl>
    <w:lvl w:ilvl="1" w:tplc="298FC817">
      <w:start w:val="1"/>
      <w:numFmt w:val="decimal"/>
      <w:suff w:val="tab"/>
      <w:lvlText w:val="%1."/>
      <w:lvlJc w:val="left"/>
      <w:pPr/>
      <w:rPr/>
    </w:lvl>
    <w:lvl w:ilvl="2" w:tplc="031B16D5">
      <w:start w:val="1"/>
      <w:numFmt w:val="decimal"/>
      <w:suff w:val="tab"/>
      <w:lvlText w:val="%1."/>
      <w:lvlJc w:val="left"/>
      <w:pPr/>
      <w:rPr/>
    </w:lvl>
    <w:lvl w:ilvl="3" w:tplc="4EC9780E">
      <w:start w:val="1"/>
      <w:numFmt w:val="decimal"/>
      <w:suff w:val="tab"/>
      <w:lvlText w:val="%1."/>
      <w:lvlJc w:val="left"/>
      <w:pPr/>
      <w:rPr/>
    </w:lvl>
    <w:lvl w:ilvl="4" w:tplc="1AFE8975">
      <w:start w:val="1"/>
      <w:numFmt w:val="decimal"/>
      <w:suff w:val="tab"/>
      <w:lvlText w:val="%1."/>
      <w:lvlJc w:val="left"/>
      <w:pPr/>
      <w:rPr/>
    </w:lvl>
    <w:lvl w:ilvl="5" w:tplc="659B19EC">
      <w:start w:val="1"/>
      <w:numFmt w:val="decimal"/>
      <w:suff w:val="tab"/>
      <w:lvlText w:val="%1."/>
      <w:lvlJc w:val="left"/>
      <w:pPr/>
      <w:rPr/>
    </w:lvl>
    <w:lvl w:ilvl="6" w:tplc="71FD4EA8">
      <w:start w:val="1"/>
      <w:numFmt w:val="decimal"/>
      <w:suff w:val="tab"/>
      <w:lvlText w:val="%1."/>
      <w:lvlJc w:val="left"/>
      <w:pPr/>
      <w:rPr/>
    </w:lvl>
    <w:lvl w:ilvl="7" w:tplc="3B92A2AE">
      <w:start w:val="1"/>
      <w:numFmt w:val="decimal"/>
      <w:suff w:val="tab"/>
      <w:lvlText w:val="%1."/>
      <w:lvlJc w:val="left"/>
      <w:pPr/>
      <w:rPr/>
    </w:lvl>
    <w:lvl w:ilvl="8" w:tplc="3BA3417F">
      <w:start w:val="1"/>
      <w:numFmt w:val="decimal"/>
      <w:suff w:val="tab"/>
      <w:lvlText w:val="%1."/>
      <w:lvlJc w:val="left"/>
      <w:pPr/>
      <w:r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w="http://schemas.openxmlformats.org/wordprocessingml/2006/main">
  <w:displayBackgroundShape w:val="1"/>
  <w:defaultTabStop w:val="720"/>
  <w:autoHyphenation w:val="0"/>
  <w:evenAndOddHeaders w:val="0"/>
  <w:characterSpacingControl w:val="doNotCompress"/>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cs="Times New Roman" w:eastAsia="Times New Roman"/>
        <w:sz w:val="20"/>
        <w:szCs w:val="22"/>
      </w:rPr>
    </w:rPrDefault>
    <w:pPrDefault>
      <w:pPr>
        <w:keepNext w:val="0"/>
        <w:keepLines w:val="0"/>
        <w:pageBreakBefore w:val="0"/>
        <w:widowControl w:val="1"/>
        <w:suppressLineNumbers w:val="0"/>
        <w:shd w:val="clear" w:fill="auto"/>
        <w:suppressAutoHyphens w:val="0"/>
        <w:spacing w:lineRule="auto" w:line="240" w:before="0" w:after="0" w:beforeAutospacing="0" w:afterAutospacing="0"/>
        <w:ind w:firstLine="0" w:left="0" w:right="0"/>
        <w:contextualSpacing w:val="0"/>
        <w:bidi w:val="0"/>
        <w:jc w:val="left"/>
        <w:outlineLvl w:val="9"/>
      </w:pPr>
    </w:pPrDefault>
  </w:docDefaults>
  <w:style w:type="paragraph" w:styleId="P0" w:default="1">
    <w:name w:val="Normal"/>
    <w:pPr/>
    <w:rPr/>
  </w:style>
  <w:style w:type="paragraph" w:styleId="P1">
    <w:name w:val="Title"/>
    <w:qFormat/>
    <w:pPr/>
    <w:rPr>
      <w:sz w:val="56"/>
      <w:szCs w:val="56"/>
    </w:rPr>
  </w:style>
  <w:style w:type="paragraph" w:styleId="P2">
    <w:name w:val="Heading 1"/>
    <w:qFormat/>
    <w:pPr>
      <w:outlineLvl w:val="0"/>
    </w:pPr>
    <w:rPr>
      <w:color w:val="2E74B5"/>
      <w:sz w:val="32"/>
      <w:szCs w:val="32"/>
    </w:rPr>
  </w:style>
  <w:style w:type="paragraph" w:styleId="P3">
    <w:name w:val="Heading 2"/>
    <w:qFormat/>
    <w:pPr>
      <w:outlineLvl w:val="1"/>
    </w:pPr>
    <w:rPr>
      <w:color w:val="2E74B5"/>
      <w:sz w:val="26"/>
      <w:szCs w:val="26"/>
    </w:rPr>
  </w:style>
  <w:style w:type="paragraph" w:styleId="P4">
    <w:name w:val="Heading 3"/>
    <w:qFormat/>
    <w:pPr>
      <w:outlineLvl w:val="2"/>
    </w:pPr>
    <w:rPr>
      <w:color w:val="1F4D78"/>
      <w:sz w:val="24"/>
      <w:szCs w:val="24"/>
    </w:rPr>
  </w:style>
  <w:style w:type="paragraph" w:styleId="P5">
    <w:name w:val="Heading 4"/>
    <w:qFormat/>
    <w:pPr>
      <w:outlineLvl w:val="3"/>
    </w:pPr>
    <w:rPr>
      <w:i w:val="1"/>
      <w:iCs w:val="1"/>
      <w:color w:val="2E74B5"/>
    </w:rPr>
  </w:style>
  <w:style w:type="paragraph" w:styleId="P6">
    <w:name w:val="Heading 5"/>
    <w:qFormat/>
    <w:pPr>
      <w:outlineLvl w:val="4"/>
    </w:pPr>
    <w:rPr>
      <w:color w:val="2E74B5"/>
    </w:rPr>
  </w:style>
  <w:style w:type="paragraph" w:styleId="P7">
    <w:name w:val="Heading 6"/>
    <w:qFormat/>
    <w:pPr>
      <w:outlineLvl w:val="5"/>
    </w:pPr>
    <w:rPr>
      <w:color w:val="1F4D78"/>
    </w:rPr>
  </w:style>
  <w:style w:type="paragraph" w:styleId="P8">
    <w:name w:val="Strong1"/>
    <w:qFormat/>
    <w:pPr/>
    <w:rPr>
      <w:b w:val="1"/>
      <w:bCs w:val="1"/>
    </w:rPr>
  </w:style>
  <w:style w:type="paragraph" w:styleId="P9">
    <w:name w:val="List Paragraph"/>
    <w:qFormat/>
    <w:pPr/>
    <w:rPr/>
  </w:style>
  <w:style w:type="paragraph" w:styleId="P10">
    <w:name w:val="Footnote Text"/>
    <w:link w:val="C4"/>
    <w:semiHidden/>
    <w:pPr>
      <w:spacing w:lineRule="auto" w:line="240" w:after="0" w:beforeAutospacing="0" w:afterAutospacing="0"/>
    </w:pPr>
    <w:rPr>
      <w:sz w:val="20"/>
      <w:szCs w:val="20"/>
    </w:rPr>
  </w:style>
  <w:style w:type="paragraph" w:styleId="P11">
    <w:name w:val="Endnote Text"/>
    <w:link w:val="C6"/>
    <w:semiHidden/>
    <w:pPr>
      <w:spacing w:lineRule="auto" w:line="240" w:after="0" w:beforeAutospacing="0" w:afterAutospacing="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563C1"/>
      <w:u w:val="single"/>
    </w:rPr>
  </w:style>
  <w:style w:type="character" w:styleId="C3">
    <w:name w:val="Footnote Reference"/>
    <w:semiHidden/>
    <w:rPr>
      <w:vertAlign w:val="superscript"/>
    </w:rPr>
  </w:style>
  <w:style w:type="character" w:styleId="C4">
    <w:name w:val="Footnote Text Char"/>
    <w:link w:val="P10"/>
    <w:semiHidden/>
    <w:rPr>
      <w:sz w:val="20"/>
      <w:szCs w:val="20"/>
    </w:rPr>
  </w:style>
  <w:style w:type="character" w:styleId="C5">
    <w:name w:val="Endnote Reference"/>
    <w:semiHidden/>
    <w:rPr>
      <w:vertAlign w:val="superscript"/>
    </w:rPr>
  </w:style>
  <w:style w:type="character" w:styleId="C6">
    <w:name w:val="Endnote Text Char"/>
    <w:link w:val="P11"/>
    <w:semiHidden/>
    <w:rPr>
      <w:sz w:val="20"/>
      <w:szCs w:val="2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API/23.2.6.0</Application>
  <AppVersion>23.2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Un-named</dc:creator>
  <dcterms:created xsi:type="dcterms:W3CDTF">2026-07-23T19:07:20Z</dcterms:created>
  <dcterms:modified xsi:type="dcterms:W3CDTF">2026-07-25T02:15:48Z</dcterms:modified>
  <cp:revision>2</cp:revision>
</cp:coreProperties>
</file>